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D1869" w:rsidRDefault="009616FE" w:rsidP="00E6179D">
      <w:pPr>
        <w:spacing w:after="0" w:line="360" w:lineRule="auto"/>
        <w:jc w:val="both"/>
        <w:rPr>
          <w:rFonts w:ascii="Palatino Linotype" w:eastAsia="Calibri" w:hAnsi="Palatino Linotype" w:cs="Arial"/>
          <w:b/>
          <w:bCs/>
          <w:sz w:val="24"/>
          <w:szCs w:val="24"/>
          <w:lang w:eastAsia="es-MX"/>
        </w:rPr>
      </w:pPr>
      <w:r>
        <w:rPr>
          <w:rFonts w:ascii="Palatino Linotype" w:hAnsi="Palatino Linotype"/>
          <w:b/>
          <w:sz w:val="24"/>
          <w:szCs w:val="24"/>
        </w:rPr>
        <w:t xml:space="preserve">VOTO </w:t>
      </w:r>
      <w:r w:rsidRPr="009616FE">
        <w:rPr>
          <w:rFonts w:ascii="Palatino Linotype" w:hAnsi="Palatino Linotype"/>
          <w:b/>
          <w:sz w:val="24"/>
          <w:szCs w:val="24"/>
        </w:rPr>
        <w:t>PARTICULAR CONCURRENTE QUE FORMULAN LOS COMISIONADOS JAVIER MARTÍNEZ CRUZ Y JOSÉ GUADALUPE LUNA HERNÁNDEZ</w:t>
      </w:r>
      <w:r w:rsidR="0020438A">
        <w:rPr>
          <w:rFonts w:ascii="Palatino Linotype" w:eastAsia="Calibri" w:hAnsi="Palatino Linotype" w:cs="Arial"/>
          <w:b/>
          <w:sz w:val="24"/>
          <w:szCs w:val="24"/>
        </w:rPr>
        <w:t xml:space="preserve"> EN </w:t>
      </w:r>
      <w:r w:rsidR="00E6179D" w:rsidRPr="009616FE">
        <w:rPr>
          <w:rFonts w:ascii="Palatino Linotype" w:eastAsia="Calibri" w:hAnsi="Palatino Linotype" w:cs="Arial"/>
          <w:b/>
          <w:sz w:val="24"/>
          <w:szCs w:val="24"/>
        </w:rPr>
        <w:t>L</w:t>
      </w:r>
      <w:r w:rsidR="0020438A">
        <w:rPr>
          <w:rFonts w:ascii="Palatino Linotype" w:eastAsia="Calibri" w:hAnsi="Palatino Linotype" w:cs="Arial"/>
          <w:b/>
          <w:sz w:val="24"/>
          <w:szCs w:val="24"/>
        </w:rPr>
        <w:t>OS</w:t>
      </w:r>
      <w:r w:rsidR="00E6179D" w:rsidRPr="009616FE">
        <w:rPr>
          <w:rFonts w:ascii="Palatino Linotype" w:eastAsia="Calibri" w:hAnsi="Palatino Linotype" w:cs="Arial"/>
          <w:b/>
          <w:sz w:val="24"/>
          <w:szCs w:val="24"/>
        </w:rPr>
        <w:t xml:space="preserve"> RECURSO DE REVISIÓ</w:t>
      </w:r>
      <w:r w:rsidR="00E6179D" w:rsidRPr="00BA442E">
        <w:rPr>
          <w:rFonts w:ascii="Palatino Linotype" w:eastAsia="Calibri" w:hAnsi="Palatino Linotype" w:cs="Arial"/>
          <w:b/>
          <w:sz w:val="24"/>
          <w:szCs w:val="24"/>
        </w:rPr>
        <w:t xml:space="preserve">N </w:t>
      </w:r>
      <w:r w:rsidR="00BA442E" w:rsidRPr="00BA442E">
        <w:rPr>
          <w:rFonts w:ascii="Palatino Linotype" w:hAnsi="Palatino Linotype" w:cs="Arial"/>
          <w:b/>
          <w:bCs/>
          <w:sz w:val="24"/>
          <w:szCs w:val="24"/>
          <w:lang w:eastAsia="es-MX"/>
        </w:rPr>
        <w:t>0201</w:t>
      </w:r>
      <w:r w:rsidR="00BA442E">
        <w:rPr>
          <w:rFonts w:ascii="Palatino Linotype" w:hAnsi="Palatino Linotype" w:cs="Arial"/>
          <w:b/>
          <w:bCs/>
          <w:sz w:val="24"/>
          <w:szCs w:val="24"/>
          <w:lang w:eastAsia="es-MX"/>
        </w:rPr>
        <w:t>4</w:t>
      </w:r>
      <w:r w:rsidR="00BA442E" w:rsidRPr="00BA442E">
        <w:rPr>
          <w:rFonts w:ascii="Palatino Linotype" w:hAnsi="Palatino Linotype" w:cs="Arial"/>
          <w:b/>
          <w:bCs/>
          <w:sz w:val="24"/>
          <w:szCs w:val="24"/>
          <w:lang w:eastAsia="es-MX"/>
        </w:rPr>
        <w:t>/INFOEM/IP/RR/2018 y 0</w:t>
      </w:r>
      <w:r w:rsidR="005537BE">
        <w:rPr>
          <w:rFonts w:ascii="Palatino Linotype" w:hAnsi="Palatino Linotype" w:cs="Arial"/>
          <w:b/>
          <w:bCs/>
          <w:sz w:val="24"/>
          <w:szCs w:val="24"/>
          <w:lang w:eastAsia="es-MX"/>
        </w:rPr>
        <w:t>20</w:t>
      </w:r>
      <w:r w:rsidR="00BA442E">
        <w:rPr>
          <w:rFonts w:ascii="Palatino Linotype" w:hAnsi="Palatino Linotype" w:cs="Arial"/>
          <w:b/>
          <w:bCs/>
          <w:sz w:val="24"/>
          <w:szCs w:val="24"/>
          <w:lang w:eastAsia="es-MX"/>
        </w:rPr>
        <w:t>15</w:t>
      </w:r>
      <w:r w:rsidR="00BA442E" w:rsidRPr="00BA442E">
        <w:rPr>
          <w:rFonts w:ascii="Palatino Linotype" w:hAnsi="Palatino Linotype" w:cs="Arial"/>
          <w:b/>
          <w:bCs/>
          <w:sz w:val="24"/>
          <w:szCs w:val="24"/>
          <w:lang w:eastAsia="es-MX"/>
        </w:rPr>
        <w:t>/INFOEM/IP/RR/2018</w:t>
      </w:r>
      <w:r w:rsidR="00BA442E">
        <w:rPr>
          <w:rFonts w:ascii="Palatino Linotype" w:hAnsi="Palatino Linotype" w:cs="Arial"/>
          <w:b/>
          <w:bCs/>
          <w:sz w:val="24"/>
          <w:szCs w:val="24"/>
          <w:lang w:eastAsia="es-MX"/>
        </w:rPr>
        <w:t>,</w:t>
      </w:r>
      <w:r w:rsidRPr="00BA442E">
        <w:rPr>
          <w:rFonts w:ascii="Palatino Linotype" w:hAnsi="Palatino Linotype"/>
          <w:b/>
          <w:sz w:val="24"/>
          <w:szCs w:val="24"/>
        </w:rPr>
        <w:t xml:space="preserve"> ACUMULADOS.</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9D3396"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w:t>
      </w:r>
      <w:r w:rsidR="009D3396">
        <w:rPr>
          <w:rFonts w:ascii="Palatino Linotype" w:eastAsia="Calibri" w:hAnsi="Palatino Linotype" w:cs="Arial"/>
          <w:sz w:val="24"/>
          <w:szCs w:val="24"/>
        </w:rPr>
        <w:t xml:space="preserve">Para satisfacer plenamente el derecho de acceso a la información pública, el Instituto de Transparencia, Acceso a la Información Pública y Protección de Datos Personales del Estado de México y Municipios debe velar por que los Sujetos Obligados respeten y se rijan por los principios de simplicidad, rapidez, </w:t>
      </w:r>
      <w:r w:rsidR="009D3396">
        <w:rPr>
          <w:rFonts w:ascii="Palatino Linotype" w:eastAsia="Calibri" w:hAnsi="Palatino Linotype" w:cs="Arial"/>
          <w:b/>
          <w:i/>
          <w:sz w:val="24"/>
          <w:szCs w:val="24"/>
        </w:rPr>
        <w:t>gratuidad</w:t>
      </w:r>
      <w:r w:rsidR="009D3396">
        <w:rPr>
          <w:rFonts w:ascii="Palatino Linotype" w:eastAsia="Calibri" w:hAnsi="Palatino Linotype" w:cs="Arial"/>
          <w:sz w:val="24"/>
          <w:szCs w:val="24"/>
        </w:rPr>
        <w:t>, así como auxilio y orientación a los particulares con el propósito de otorgar la protección más amplia del derecho humano de las personas.</w:t>
      </w:r>
    </w:p>
    <w:p w:rsidR="00E6179D" w:rsidRDefault="00E6179D"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posOffset>196215</wp:posOffset>
                </wp:positionH>
                <wp:positionV relativeFrom="paragraph">
                  <wp:posOffset>45084</wp:posOffset>
                </wp:positionV>
                <wp:extent cx="5389880" cy="2524125"/>
                <wp:effectExtent l="0" t="0" r="20320" b="28575"/>
                <wp:wrapNone/>
                <wp:docPr id="1" name="Conector recto 1"/>
                <wp:cNvGraphicFramePr/>
                <a:graphic xmlns:a="http://schemas.openxmlformats.org/drawingml/2006/main">
                  <a:graphicData uri="http://schemas.microsoft.com/office/word/2010/wordprocessingShape">
                    <wps:wsp>
                      <wps:cNvCnPr/>
                      <wps:spPr>
                        <a:xfrm flipV="1">
                          <a:off x="0" y="0"/>
                          <a:ext cx="5389880" cy="25241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CB87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5pt,3.55pt" to="439.85pt,2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" strokecolor="black [3200]" strokeweight="1.5pt">
                <v:stroke joinstyle="miter"/>
                <w10:wrap anchorx="margin"/>
              </v:line>
            </w:pict>
          </mc:Fallback>
        </mc:AlternateContent>
      </w: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E6179D" w:rsidRDefault="00E6179D" w:rsidP="008E3E36">
      <w:pPr>
        <w:pStyle w:val="TtulodeTDC"/>
        <w:spacing w:line="360" w:lineRule="auto"/>
        <w:jc w:val="center"/>
        <w:rPr>
          <w:rFonts w:cs="Arial"/>
          <w:color w:val="auto"/>
          <w:szCs w:val="24"/>
        </w:rPr>
      </w:pPr>
      <w:r w:rsidRPr="00835C8D">
        <w:rPr>
          <w:rFonts w:cs="Arial"/>
          <w:color w:val="auto"/>
          <w:szCs w:val="24"/>
        </w:rPr>
        <w:lastRenderedPageBreak/>
        <w:t>Índice</w:t>
      </w:r>
      <w:r w:rsidR="00B73B30">
        <w:rPr>
          <w:rFonts w:cs="Arial"/>
          <w:color w:val="auto"/>
          <w:szCs w:val="24"/>
        </w:rPr>
        <w:t>.</w:t>
      </w:r>
    </w:p>
    <w:p w:rsidR="008E3E36" w:rsidRPr="008E3E36" w:rsidRDefault="008E3E36" w:rsidP="008E3E36">
      <w:pPr>
        <w:rPr>
          <w:lang w:eastAsia="es-MX"/>
        </w:rPr>
      </w:pP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8E3E36" w:rsidRPr="008E3E36" w:rsidRDefault="00E6179D" w:rsidP="008E3E36">
          <w:pPr>
            <w:pStyle w:val="TDC1"/>
            <w:spacing w:line="480" w:lineRule="auto"/>
            <w:rPr>
              <w:rFonts w:eastAsiaTheme="minorEastAsia"/>
              <w:b w:val="0"/>
              <w:sz w:val="24"/>
              <w:szCs w:val="24"/>
              <w:lang w:eastAsia="es-MX"/>
            </w:rPr>
          </w:pPr>
          <w:r w:rsidRPr="008E3E36">
            <w:rPr>
              <w:b w:val="0"/>
              <w:sz w:val="24"/>
              <w:szCs w:val="24"/>
            </w:rPr>
            <w:fldChar w:fldCharType="begin"/>
          </w:r>
          <w:r w:rsidRPr="008E3E36">
            <w:rPr>
              <w:sz w:val="24"/>
              <w:szCs w:val="24"/>
            </w:rPr>
            <w:instrText xml:space="preserve"> TOC \o "1-3" \h \z \u </w:instrText>
          </w:r>
          <w:r w:rsidRPr="008E3E36">
            <w:rPr>
              <w:b w:val="0"/>
              <w:sz w:val="24"/>
              <w:szCs w:val="24"/>
            </w:rPr>
            <w:fldChar w:fldCharType="separate"/>
          </w:r>
          <w:hyperlink w:anchor="_Toc521928203" w:history="1">
            <w:r w:rsidR="008E3E36" w:rsidRPr="008E3E36">
              <w:rPr>
                <w:rStyle w:val="Hipervnculo"/>
                <w:rFonts w:eastAsia="Times New Roman"/>
                <w:sz w:val="24"/>
                <w:szCs w:val="24"/>
              </w:rPr>
              <w:t>I.</w:t>
            </w:r>
            <w:r w:rsidR="008E3E36" w:rsidRPr="008E3E36">
              <w:rPr>
                <w:rFonts w:eastAsiaTheme="minorEastAsia"/>
                <w:b w:val="0"/>
                <w:sz w:val="24"/>
                <w:szCs w:val="24"/>
                <w:lang w:eastAsia="es-MX"/>
              </w:rPr>
              <w:tab/>
            </w:r>
            <w:r w:rsidR="008E3E36" w:rsidRPr="008E3E36">
              <w:rPr>
                <w:rStyle w:val="Hipervnculo"/>
                <w:rFonts w:eastAsia="Times New Roman"/>
                <w:sz w:val="24"/>
                <w:szCs w:val="24"/>
              </w:rPr>
              <w:t>Consideraciones Generales</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_Toc521928203 \h </w:instrText>
            </w:r>
            <w:r w:rsidR="008E3E36" w:rsidRPr="008E3E36">
              <w:rPr>
                <w:webHidden/>
                <w:sz w:val="24"/>
                <w:szCs w:val="24"/>
              </w:rPr>
            </w:r>
            <w:r w:rsidR="008E3E36" w:rsidRPr="008E3E36">
              <w:rPr>
                <w:webHidden/>
                <w:sz w:val="24"/>
                <w:szCs w:val="24"/>
              </w:rPr>
              <w:fldChar w:fldCharType="separate"/>
            </w:r>
            <w:r w:rsidR="000E01EF">
              <w:rPr>
                <w:webHidden/>
                <w:sz w:val="24"/>
                <w:szCs w:val="24"/>
              </w:rPr>
              <w:t>3</w:t>
            </w:r>
            <w:r w:rsidR="008E3E36" w:rsidRPr="008E3E36">
              <w:rPr>
                <w:webHidden/>
                <w:sz w:val="24"/>
                <w:szCs w:val="24"/>
              </w:rPr>
              <w:fldChar w:fldCharType="end"/>
            </w:r>
          </w:hyperlink>
        </w:p>
        <w:p w:rsidR="008E3E36" w:rsidRPr="008E3E36" w:rsidRDefault="00E00100" w:rsidP="008E3E36">
          <w:pPr>
            <w:pStyle w:val="TDC1"/>
            <w:spacing w:line="480" w:lineRule="auto"/>
            <w:rPr>
              <w:rFonts w:eastAsiaTheme="minorEastAsia"/>
              <w:b w:val="0"/>
              <w:sz w:val="24"/>
              <w:szCs w:val="24"/>
              <w:lang w:eastAsia="es-MX"/>
            </w:rPr>
          </w:pPr>
          <w:hyperlink w:anchor="_Toc521928204" w:history="1">
            <w:r w:rsidR="008E3E36" w:rsidRPr="008E3E36">
              <w:rPr>
                <w:rStyle w:val="Hipervnculo"/>
                <w:rFonts w:eastAsia="Calibri"/>
                <w:sz w:val="24"/>
                <w:szCs w:val="24"/>
                <w:lang w:val="es-ES"/>
              </w:rPr>
              <w:t>II.</w:t>
            </w:r>
            <w:r w:rsidR="008E3E36" w:rsidRPr="008E3E36">
              <w:rPr>
                <w:rFonts w:eastAsiaTheme="minorEastAsia"/>
                <w:b w:val="0"/>
                <w:sz w:val="24"/>
                <w:szCs w:val="24"/>
                <w:lang w:eastAsia="es-MX"/>
              </w:rPr>
              <w:tab/>
            </w:r>
            <w:r w:rsidR="008E3E36" w:rsidRPr="008E3E36">
              <w:rPr>
                <w:rStyle w:val="Hipervnculo"/>
                <w:rFonts w:eastAsia="Calibri"/>
                <w:sz w:val="24"/>
                <w:szCs w:val="24"/>
                <w:lang w:val="es-ES"/>
              </w:rPr>
              <w:t>De los requerimientos planteados en el recurso de revisión.</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_Toc521928204 \h </w:instrText>
            </w:r>
            <w:r w:rsidR="008E3E36" w:rsidRPr="008E3E36">
              <w:rPr>
                <w:webHidden/>
                <w:sz w:val="24"/>
                <w:szCs w:val="24"/>
              </w:rPr>
            </w:r>
            <w:r w:rsidR="008E3E36" w:rsidRPr="008E3E36">
              <w:rPr>
                <w:webHidden/>
                <w:sz w:val="24"/>
                <w:szCs w:val="24"/>
              </w:rPr>
              <w:fldChar w:fldCharType="separate"/>
            </w:r>
            <w:r w:rsidR="000E01EF">
              <w:rPr>
                <w:webHidden/>
                <w:sz w:val="24"/>
                <w:szCs w:val="24"/>
              </w:rPr>
              <w:t>4</w:t>
            </w:r>
            <w:r w:rsidR="008E3E36" w:rsidRPr="008E3E36">
              <w:rPr>
                <w:webHidden/>
                <w:sz w:val="24"/>
                <w:szCs w:val="24"/>
              </w:rPr>
              <w:fldChar w:fldCharType="end"/>
            </w:r>
          </w:hyperlink>
        </w:p>
        <w:p w:rsidR="008E3E36" w:rsidRPr="008E3E36" w:rsidRDefault="00E00100" w:rsidP="008E3E36">
          <w:pPr>
            <w:pStyle w:val="TDC2"/>
            <w:spacing w:line="480" w:lineRule="auto"/>
            <w:rPr>
              <w:rFonts w:ascii="Palatino Linotype" w:eastAsiaTheme="minorEastAsia" w:hAnsi="Palatino Linotype"/>
              <w:noProof/>
              <w:sz w:val="24"/>
              <w:szCs w:val="24"/>
              <w:lang w:eastAsia="es-MX"/>
            </w:rPr>
          </w:pPr>
          <w:hyperlink w:anchor="_Toc521928205" w:history="1">
            <w:r w:rsidR="008E3E36" w:rsidRPr="008E3E36">
              <w:rPr>
                <w:rStyle w:val="Hipervnculo"/>
                <w:rFonts w:ascii="Palatino Linotype" w:hAnsi="Palatino Linotype"/>
                <w:b/>
                <w:noProof/>
                <w:sz w:val="24"/>
                <w:szCs w:val="24"/>
              </w:rPr>
              <w:t>III. Del Derecho de Acceso a la Información Pública y el deber de motivar.</w:t>
            </w:r>
            <w:r w:rsidR="008E3E36" w:rsidRPr="008E3E36">
              <w:rPr>
                <w:rFonts w:ascii="Palatino Linotype" w:hAnsi="Palatino Linotype"/>
                <w:noProof/>
                <w:webHidden/>
                <w:sz w:val="24"/>
                <w:szCs w:val="24"/>
              </w:rPr>
              <w:tab/>
            </w:r>
            <w:r w:rsidR="008E3E36" w:rsidRPr="008E3E36">
              <w:rPr>
                <w:rFonts w:ascii="Palatino Linotype" w:hAnsi="Palatino Linotype"/>
                <w:noProof/>
                <w:webHidden/>
                <w:sz w:val="24"/>
                <w:szCs w:val="24"/>
              </w:rPr>
              <w:fldChar w:fldCharType="begin"/>
            </w:r>
            <w:r w:rsidR="008E3E36" w:rsidRPr="008E3E36">
              <w:rPr>
                <w:rFonts w:ascii="Palatino Linotype" w:hAnsi="Palatino Linotype"/>
                <w:noProof/>
                <w:webHidden/>
                <w:sz w:val="24"/>
                <w:szCs w:val="24"/>
              </w:rPr>
              <w:instrText xml:space="preserve"> PAGEREF _Toc521928205 \h </w:instrText>
            </w:r>
            <w:r w:rsidR="008E3E36" w:rsidRPr="008E3E36">
              <w:rPr>
                <w:rFonts w:ascii="Palatino Linotype" w:hAnsi="Palatino Linotype"/>
                <w:noProof/>
                <w:webHidden/>
                <w:sz w:val="24"/>
                <w:szCs w:val="24"/>
              </w:rPr>
            </w:r>
            <w:r w:rsidR="008E3E36" w:rsidRPr="008E3E36">
              <w:rPr>
                <w:rFonts w:ascii="Palatino Linotype" w:hAnsi="Palatino Linotype"/>
                <w:noProof/>
                <w:webHidden/>
                <w:sz w:val="24"/>
                <w:szCs w:val="24"/>
              </w:rPr>
              <w:fldChar w:fldCharType="separate"/>
            </w:r>
            <w:r w:rsidR="000E01EF">
              <w:rPr>
                <w:rFonts w:ascii="Palatino Linotype" w:hAnsi="Palatino Linotype"/>
                <w:noProof/>
                <w:webHidden/>
                <w:sz w:val="24"/>
                <w:szCs w:val="24"/>
              </w:rPr>
              <w:t>5</w:t>
            </w:r>
            <w:r w:rsidR="008E3E36" w:rsidRPr="008E3E36">
              <w:rPr>
                <w:rFonts w:ascii="Palatino Linotype" w:hAnsi="Palatino Linotype"/>
                <w:noProof/>
                <w:webHidden/>
                <w:sz w:val="24"/>
                <w:szCs w:val="24"/>
              </w:rPr>
              <w:fldChar w:fldCharType="end"/>
            </w:r>
          </w:hyperlink>
        </w:p>
        <w:p w:rsidR="008E3E36" w:rsidRPr="008E3E36" w:rsidRDefault="00E00100" w:rsidP="008E3E36">
          <w:pPr>
            <w:pStyle w:val="TDC1"/>
            <w:spacing w:line="480" w:lineRule="auto"/>
            <w:rPr>
              <w:rFonts w:eastAsiaTheme="minorEastAsia"/>
              <w:b w:val="0"/>
              <w:sz w:val="24"/>
              <w:szCs w:val="24"/>
              <w:lang w:eastAsia="es-MX"/>
            </w:rPr>
          </w:pPr>
          <w:hyperlink w:anchor="_Toc521928206" w:history="1">
            <w:r w:rsidR="008E3E36" w:rsidRPr="008E3E36">
              <w:rPr>
                <w:rStyle w:val="Hipervnculo"/>
                <w:rFonts w:eastAsia="Calibri"/>
                <w:sz w:val="24"/>
                <w:szCs w:val="24"/>
              </w:rPr>
              <w:t>IV. Del Principio de Gratuidad</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_Toc521928206 \h </w:instrText>
            </w:r>
            <w:r w:rsidR="008E3E36" w:rsidRPr="008E3E36">
              <w:rPr>
                <w:webHidden/>
                <w:sz w:val="24"/>
                <w:szCs w:val="24"/>
              </w:rPr>
            </w:r>
            <w:r w:rsidR="008E3E36" w:rsidRPr="008E3E36">
              <w:rPr>
                <w:webHidden/>
                <w:sz w:val="24"/>
                <w:szCs w:val="24"/>
              </w:rPr>
              <w:fldChar w:fldCharType="separate"/>
            </w:r>
            <w:r w:rsidR="000E01EF">
              <w:rPr>
                <w:webHidden/>
                <w:sz w:val="24"/>
                <w:szCs w:val="24"/>
              </w:rPr>
              <w:t>11</w:t>
            </w:r>
            <w:r w:rsidR="008E3E36" w:rsidRPr="008E3E36">
              <w:rPr>
                <w:webHidden/>
                <w:sz w:val="24"/>
                <w:szCs w:val="24"/>
              </w:rPr>
              <w:fldChar w:fldCharType="end"/>
            </w:r>
          </w:hyperlink>
        </w:p>
        <w:p w:rsidR="008E3E36" w:rsidRPr="008E3E36" w:rsidRDefault="00E00100" w:rsidP="008E3E36">
          <w:pPr>
            <w:pStyle w:val="TDC1"/>
            <w:spacing w:line="480" w:lineRule="auto"/>
            <w:rPr>
              <w:rFonts w:eastAsiaTheme="minorEastAsia"/>
              <w:b w:val="0"/>
              <w:sz w:val="24"/>
              <w:szCs w:val="24"/>
              <w:lang w:eastAsia="es-MX"/>
            </w:rPr>
          </w:pPr>
          <w:hyperlink w:anchor="_Toc521928207" w:history="1">
            <w:r w:rsidR="008E3E36" w:rsidRPr="008E3E36">
              <w:rPr>
                <w:rStyle w:val="Hipervnculo"/>
                <w:rFonts w:cs="Arial"/>
                <w:bCs/>
                <w:sz w:val="24"/>
                <w:szCs w:val="24"/>
              </w:rPr>
              <w:t xml:space="preserve">V. Del principio </w:t>
            </w:r>
            <w:r w:rsidR="008E3E36" w:rsidRPr="008E3E36">
              <w:rPr>
                <w:rStyle w:val="Hipervnculo"/>
                <w:rFonts w:cs="Arial"/>
                <w:bCs/>
                <w:i/>
                <w:sz w:val="24"/>
                <w:szCs w:val="24"/>
              </w:rPr>
              <w:t>pro persona.</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_Toc521928207 \h </w:instrText>
            </w:r>
            <w:r w:rsidR="008E3E36" w:rsidRPr="008E3E36">
              <w:rPr>
                <w:webHidden/>
                <w:sz w:val="24"/>
                <w:szCs w:val="24"/>
              </w:rPr>
            </w:r>
            <w:r w:rsidR="008E3E36" w:rsidRPr="008E3E36">
              <w:rPr>
                <w:webHidden/>
                <w:sz w:val="24"/>
                <w:szCs w:val="24"/>
              </w:rPr>
              <w:fldChar w:fldCharType="separate"/>
            </w:r>
            <w:r w:rsidR="000E01EF">
              <w:rPr>
                <w:webHidden/>
                <w:sz w:val="24"/>
                <w:szCs w:val="24"/>
              </w:rPr>
              <w:t>16</w:t>
            </w:r>
            <w:r w:rsidR="008E3E36" w:rsidRPr="008E3E36">
              <w:rPr>
                <w:webHidden/>
                <w:sz w:val="24"/>
                <w:szCs w:val="24"/>
              </w:rPr>
              <w:fldChar w:fldCharType="end"/>
            </w:r>
          </w:hyperlink>
        </w:p>
        <w:p w:rsidR="008E3E36" w:rsidRPr="008E3E36" w:rsidRDefault="00E00100" w:rsidP="008E3E36">
          <w:pPr>
            <w:pStyle w:val="TDC1"/>
            <w:spacing w:line="480" w:lineRule="auto"/>
            <w:rPr>
              <w:rFonts w:eastAsiaTheme="minorEastAsia"/>
              <w:b w:val="0"/>
              <w:sz w:val="24"/>
              <w:szCs w:val="24"/>
              <w:lang w:eastAsia="es-MX"/>
            </w:rPr>
          </w:pPr>
          <w:hyperlink w:anchor="_Toc521928208" w:history="1">
            <w:r w:rsidR="008E3E36" w:rsidRPr="008E3E36">
              <w:rPr>
                <w:rStyle w:val="Hipervnculo"/>
                <w:rFonts w:eastAsia="Calibri"/>
                <w:sz w:val="24"/>
                <w:szCs w:val="24"/>
              </w:rPr>
              <w:t>VI. Conclusión.</w:t>
            </w:r>
            <w:r w:rsidR="008E3E36" w:rsidRPr="008E3E36">
              <w:rPr>
                <w:webHidden/>
                <w:sz w:val="24"/>
                <w:szCs w:val="24"/>
              </w:rPr>
              <w:tab/>
            </w:r>
            <w:r w:rsidR="008E3E36" w:rsidRPr="008E3E36">
              <w:rPr>
                <w:webHidden/>
                <w:sz w:val="24"/>
                <w:szCs w:val="24"/>
              </w:rPr>
              <w:fldChar w:fldCharType="begin"/>
            </w:r>
            <w:r w:rsidR="008E3E36" w:rsidRPr="008E3E36">
              <w:rPr>
                <w:webHidden/>
                <w:sz w:val="24"/>
                <w:szCs w:val="24"/>
              </w:rPr>
              <w:instrText xml:space="preserve"> PAGEREF _Toc521928208 \h </w:instrText>
            </w:r>
            <w:r w:rsidR="008E3E36" w:rsidRPr="008E3E36">
              <w:rPr>
                <w:webHidden/>
                <w:sz w:val="24"/>
                <w:szCs w:val="24"/>
              </w:rPr>
            </w:r>
            <w:r w:rsidR="008E3E36" w:rsidRPr="008E3E36">
              <w:rPr>
                <w:webHidden/>
                <w:sz w:val="24"/>
                <w:szCs w:val="24"/>
              </w:rPr>
              <w:fldChar w:fldCharType="separate"/>
            </w:r>
            <w:r w:rsidR="000E01EF">
              <w:rPr>
                <w:webHidden/>
                <w:sz w:val="24"/>
                <w:szCs w:val="24"/>
              </w:rPr>
              <w:t>28</w:t>
            </w:r>
            <w:r w:rsidR="008E3E36" w:rsidRPr="008E3E36">
              <w:rPr>
                <w:webHidden/>
                <w:sz w:val="24"/>
                <w:szCs w:val="24"/>
              </w:rPr>
              <w:fldChar w:fldCharType="end"/>
            </w:r>
          </w:hyperlink>
        </w:p>
        <w:p w:rsidR="00205008" w:rsidRDefault="008E3E36" w:rsidP="008E3E36">
          <w:pPr>
            <w:spacing w:line="480" w:lineRule="auto"/>
            <w:rPr>
              <w:rFonts w:ascii="Palatino Linotype" w:hAnsi="Palatino Linotype"/>
              <w:b/>
              <w:bCs/>
              <w:sz w:val="24"/>
              <w:szCs w:val="24"/>
              <w:lang w:val="es-ES"/>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2084AB58" wp14:editId="1CAE140E">
                    <wp:simplePos x="0" y="0"/>
                    <wp:positionH relativeFrom="margin">
                      <wp:posOffset>71771</wp:posOffset>
                    </wp:positionH>
                    <wp:positionV relativeFrom="paragraph">
                      <wp:posOffset>8478</wp:posOffset>
                    </wp:positionV>
                    <wp:extent cx="5522274" cy="3325091"/>
                    <wp:effectExtent l="0" t="0" r="21590" b="27940"/>
                    <wp:wrapNone/>
                    <wp:docPr id="2" name="Conector recto 2"/>
                    <wp:cNvGraphicFramePr/>
                    <a:graphic xmlns:a="http://schemas.openxmlformats.org/drawingml/2006/main">
                      <a:graphicData uri="http://schemas.microsoft.com/office/word/2010/wordprocessingShape">
                        <wps:wsp>
                          <wps:cNvCnPr/>
                          <wps:spPr>
                            <a:xfrm flipV="1">
                              <a:off x="0" y="0"/>
                              <a:ext cx="5522274" cy="332509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BFD35"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65pt" to="440.4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" strokecolor="black [3200]" strokeweight="1.5pt">
                    <v:stroke joinstyle="miter"/>
                    <w10:wrap anchorx="margin"/>
                  </v:line>
                </w:pict>
              </mc:Fallback>
            </mc:AlternateContent>
          </w:r>
          <w:r w:rsidR="00E6179D" w:rsidRPr="008E3E36">
            <w:rPr>
              <w:rFonts w:ascii="Palatino Linotype" w:hAnsi="Palatino Linotype"/>
              <w:b/>
              <w:bCs/>
              <w:sz w:val="24"/>
              <w:szCs w:val="24"/>
              <w:lang w:val="es-ES"/>
            </w:rPr>
            <w:fldChar w:fldCharType="end"/>
          </w: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E6179D" w:rsidRPr="00CB2472" w:rsidRDefault="00E00100" w:rsidP="00B73B30">
          <w:pPr>
            <w:spacing w:line="360" w:lineRule="auto"/>
            <w:rPr>
              <w:rFonts w:ascii="Palatino Linotype" w:hAnsi="Palatino Linotype"/>
              <w:sz w:val="24"/>
              <w:szCs w:val="24"/>
            </w:rPr>
          </w:pPr>
        </w:p>
      </w:sdtContent>
    </w:sdt>
    <w:p w:rsidR="00E6179D" w:rsidRPr="00427B79" w:rsidRDefault="00E6179D" w:rsidP="005E1AC1">
      <w:pPr>
        <w:pStyle w:val="Ttulo1"/>
        <w:numPr>
          <w:ilvl w:val="0"/>
          <w:numId w:val="2"/>
        </w:numPr>
        <w:ind w:left="426" w:firstLine="0"/>
        <w:rPr>
          <w:rFonts w:eastAsia="Times New Roman"/>
          <w:color w:val="auto"/>
          <w:szCs w:val="24"/>
        </w:rPr>
      </w:pPr>
      <w:bookmarkStart w:id="0" w:name="_Toc521928203"/>
      <w:r w:rsidRPr="00427B79">
        <w:rPr>
          <w:rFonts w:eastAsia="Times New Roman"/>
          <w:color w:val="auto"/>
          <w:szCs w:val="24"/>
        </w:rPr>
        <w:lastRenderedPageBreak/>
        <w:t>Consideraciones Generales</w:t>
      </w:r>
      <w:bookmarkEnd w:id="0"/>
    </w:p>
    <w:p w:rsidR="0003648B" w:rsidRPr="00427B79" w:rsidRDefault="0003648B" w:rsidP="0003648B">
      <w:pPr>
        <w:pStyle w:val="TDC1"/>
        <w:ind w:left="0"/>
        <w:rPr>
          <w:sz w:val="24"/>
          <w:szCs w:val="24"/>
          <w:lang w:val="es-ES"/>
        </w:rPr>
      </w:pPr>
    </w:p>
    <w:p w:rsidR="00E6179D" w:rsidRPr="00427B79" w:rsidRDefault="00E6179D" w:rsidP="005E1AC1">
      <w:pPr>
        <w:numPr>
          <w:ilvl w:val="0"/>
          <w:numId w:val="1"/>
        </w:numPr>
        <w:spacing w:after="0" w:line="360" w:lineRule="auto"/>
        <w:ind w:left="284" w:hanging="284"/>
        <w:contextualSpacing/>
        <w:jc w:val="both"/>
        <w:rPr>
          <w:rFonts w:ascii="Palatino Linotype" w:eastAsia="Calibri" w:hAnsi="Palatino Linotype" w:cs="Arial"/>
          <w:sz w:val="24"/>
          <w:szCs w:val="24"/>
        </w:rPr>
      </w:pPr>
      <w:r w:rsidRPr="00427B79">
        <w:rPr>
          <w:rFonts w:ascii="Palatino Linotype" w:eastAsia="Times New Roman" w:hAnsi="Palatino Linotype" w:cs="Arial"/>
          <w:sz w:val="24"/>
          <w:szCs w:val="24"/>
          <w:lang w:val="es-ES_tradnl"/>
        </w:rPr>
        <w:t>He</w:t>
      </w:r>
      <w:r w:rsidR="005E1AC1">
        <w:rPr>
          <w:rFonts w:ascii="Palatino Linotype" w:eastAsia="Times New Roman" w:hAnsi="Palatino Linotype" w:cs="Arial"/>
          <w:sz w:val="24"/>
          <w:szCs w:val="24"/>
          <w:lang w:val="es-ES_tradnl"/>
        </w:rPr>
        <w:t xml:space="preserve">mos concurrido con nuestro </w:t>
      </w:r>
      <w:r w:rsidRPr="00427B79">
        <w:rPr>
          <w:rFonts w:ascii="Palatino Linotype" w:eastAsia="Times New Roman" w:hAnsi="Palatino Linotype" w:cs="Arial"/>
          <w:sz w:val="24"/>
          <w:szCs w:val="24"/>
          <w:lang w:val="es-ES_tradnl"/>
        </w:rPr>
        <w:t xml:space="preserve">voto particular </w:t>
      </w:r>
      <w:r w:rsidR="005E1AC1">
        <w:rPr>
          <w:rFonts w:ascii="Palatino Linotype" w:eastAsia="Times New Roman" w:hAnsi="Palatino Linotype" w:cs="Arial"/>
          <w:sz w:val="24"/>
          <w:szCs w:val="24"/>
          <w:lang w:val="es-ES_tradnl"/>
        </w:rPr>
        <w:t xml:space="preserve">concurrente </w:t>
      </w:r>
      <w:r w:rsidRPr="00427B79">
        <w:rPr>
          <w:rFonts w:ascii="Palatino Linotype" w:eastAsia="Times New Roman" w:hAnsi="Palatino Linotype" w:cs="Arial"/>
          <w:sz w:val="24"/>
          <w:szCs w:val="24"/>
          <w:lang w:val="es-ES_tradnl"/>
        </w:rPr>
        <w:t>e</w:t>
      </w:r>
      <w:r w:rsidR="005E1AC1">
        <w:rPr>
          <w:rFonts w:ascii="Palatino Linotype" w:eastAsia="Times New Roman" w:hAnsi="Palatino Linotype" w:cs="Arial"/>
          <w:sz w:val="24"/>
          <w:szCs w:val="24"/>
          <w:lang w:val="es-ES_tradnl"/>
        </w:rPr>
        <w:t>n</w:t>
      </w:r>
      <w:r w:rsidRPr="00427B79">
        <w:rPr>
          <w:rFonts w:ascii="Palatino Linotype" w:eastAsia="Times New Roman" w:hAnsi="Palatino Linotype" w:cs="Arial"/>
          <w:sz w:val="24"/>
          <w:szCs w:val="24"/>
          <w:lang w:val="es-ES_tradnl"/>
        </w:rPr>
        <w:t xml:space="preserv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98539C">
        <w:rPr>
          <w:rFonts w:ascii="Palatino Linotype" w:eastAsia="Calibri" w:hAnsi="Palatino Linotype" w:cs="Arial"/>
          <w:sz w:val="24"/>
          <w:szCs w:val="24"/>
        </w:rPr>
        <w:t xml:space="preserve">Vigésimo </w:t>
      </w:r>
      <w:r w:rsidR="005E1AC1">
        <w:rPr>
          <w:rFonts w:ascii="Palatino Linotype" w:eastAsia="Calibri" w:hAnsi="Palatino Linotype" w:cs="Arial"/>
          <w:sz w:val="24"/>
          <w:szCs w:val="24"/>
        </w:rPr>
        <w:t>Octav</w:t>
      </w:r>
      <w:r w:rsidR="008B30D3">
        <w:rPr>
          <w:rFonts w:ascii="Palatino Linotype" w:eastAsia="Calibri" w:hAnsi="Palatino Linotype" w:cs="Arial"/>
          <w:sz w:val="24"/>
          <w:szCs w:val="24"/>
        </w:rPr>
        <w:t>a</w:t>
      </w:r>
      <w:r w:rsidR="00DB39B5">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5E1AC1">
        <w:rPr>
          <w:rFonts w:ascii="Palatino Linotype" w:eastAsia="Calibri" w:hAnsi="Palatino Linotype" w:cs="Arial"/>
          <w:sz w:val="24"/>
          <w:szCs w:val="24"/>
        </w:rPr>
        <w:t>ocho</w:t>
      </w:r>
      <w:r w:rsidRPr="00427B79">
        <w:rPr>
          <w:rFonts w:ascii="Palatino Linotype" w:eastAsia="Calibri" w:hAnsi="Palatino Linotype" w:cs="Arial"/>
          <w:sz w:val="24"/>
          <w:szCs w:val="24"/>
        </w:rPr>
        <w:t xml:space="preserve"> (</w:t>
      </w:r>
      <w:r w:rsidR="008B30D3">
        <w:rPr>
          <w:rFonts w:ascii="Palatino Linotype" w:eastAsia="Calibri" w:hAnsi="Palatino Linotype" w:cs="Arial"/>
          <w:sz w:val="24"/>
          <w:szCs w:val="24"/>
        </w:rPr>
        <w:t>0</w:t>
      </w:r>
      <w:r w:rsidR="005E1AC1">
        <w:rPr>
          <w:rFonts w:ascii="Palatino Linotype" w:eastAsia="Calibri" w:hAnsi="Palatino Linotype" w:cs="Arial"/>
          <w:sz w:val="24"/>
          <w:szCs w:val="24"/>
        </w:rPr>
        <w:t>8</w:t>
      </w:r>
      <w:r w:rsidRPr="00427B79">
        <w:rPr>
          <w:rFonts w:ascii="Palatino Linotype" w:eastAsia="Calibri" w:hAnsi="Palatino Linotype" w:cs="Arial"/>
          <w:sz w:val="24"/>
          <w:szCs w:val="24"/>
        </w:rPr>
        <w:t xml:space="preserve">) de </w:t>
      </w:r>
      <w:r w:rsidR="005E1AC1">
        <w:rPr>
          <w:rFonts w:ascii="Palatino Linotype" w:eastAsia="Calibri" w:hAnsi="Palatino Linotype" w:cs="Arial"/>
          <w:sz w:val="24"/>
          <w:szCs w:val="24"/>
        </w:rPr>
        <w:t>agost</w:t>
      </w:r>
      <w:r w:rsidR="001F0E58">
        <w:rPr>
          <w:rFonts w:ascii="Palatino Linotype" w:eastAsia="Calibri" w:hAnsi="Palatino Linotype" w:cs="Arial"/>
          <w:sz w:val="24"/>
          <w:szCs w:val="24"/>
        </w:rPr>
        <w: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0098539C">
        <w:rPr>
          <w:rFonts w:ascii="Palatino Linotype" w:eastAsia="Calibri" w:hAnsi="Palatino Linotype" w:cs="Arial"/>
          <w:sz w:val="24"/>
          <w:szCs w:val="24"/>
        </w:rPr>
        <w:t xml:space="preserve">, en </w:t>
      </w:r>
      <w:r w:rsidR="005E1AC1">
        <w:rPr>
          <w:rFonts w:ascii="Palatino Linotype" w:eastAsia="Calibri" w:hAnsi="Palatino Linotype" w:cs="Arial"/>
          <w:sz w:val="24"/>
          <w:szCs w:val="24"/>
        </w:rPr>
        <w:t>e</w:t>
      </w:r>
      <w:r w:rsidRPr="00427B79">
        <w:rPr>
          <w:rFonts w:ascii="Palatino Linotype" w:eastAsia="Calibri" w:hAnsi="Palatino Linotype" w:cs="Arial"/>
          <w:sz w:val="24"/>
          <w:szCs w:val="24"/>
        </w:rPr>
        <w:t>l recurso de revisión interpuesto</w:t>
      </w:r>
      <w:r w:rsidR="0098539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por</w:t>
      </w:r>
      <w:r w:rsidR="00471812">
        <w:rPr>
          <w:rFonts w:ascii="Palatino Linotype" w:eastAsia="Calibri" w:hAnsi="Palatino Linotype" w:cs="Arial"/>
          <w:sz w:val="24"/>
          <w:szCs w:val="24"/>
        </w:rPr>
        <w:t xml:space="preserve"> xxxxx</w:t>
      </w:r>
      <w:bookmarkStart w:id="1" w:name="_GoBack"/>
      <w:bookmarkEnd w:id="1"/>
      <w:r w:rsidR="0045613E" w:rsidRPr="00AD2A55">
        <w:rPr>
          <w:rFonts w:ascii="Palatino Linotype" w:hAnsi="Palatino Linotype" w:cs="Arial"/>
          <w:b/>
          <w:sz w:val="24"/>
          <w:szCs w:val="24"/>
        </w:rPr>
        <w:t>,</w:t>
      </w:r>
      <w:r w:rsidR="0045613E">
        <w:rPr>
          <w:rFonts w:ascii="Palatino Linotype" w:hAnsi="Palatino Linotype" w:cs="Arial"/>
          <w:b/>
          <w:sz w:val="24"/>
          <w:szCs w:val="24"/>
        </w:rPr>
        <w:t xml:space="preserve"> </w:t>
      </w:r>
      <w:r w:rsidR="003E0648">
        <w:rPr>
          <w:rFonts w:ascii="Palatino Linotype" w:eastAsia="Calibri" w:hAnsi="Palatino Linotype" w:cs="Arial"/>
          <w:sz w:val="24"/>
          <w:szCs w:val="24"/>
        </w:rPr>
        <w:t>en contra de la respuesta de</w:t>
      </w:r>
      <w:r w:rsidR="008B30D3">
        <w:rPr>
          <w:rFonts w:ascii="Palatino Linotype" w:eastAsia="Calibri" w:hAnsi="Palatino Linotype" w:cs="Arial"/>
          <w:sz w:val="24"/>
          <w:szCs w:val="24"/>
        </w:rPr>
        <w:t xml:space="preserve"> </w:t>
      </w:r>
      <w:r w:rsidR="009A0D68">
        <w:rPr>
          <w:rFonts w:ascii="Palatino Linotype" w:eastAsia="Calibri" w:hAnsi="Palatino Linotype" w:cs="Arial"/>
          <w:sz w:val="24"/>
          <w:szCs w:val="24"/>
        </w:rPr>
        <w:t>l</w:t>
      </w:r>
      <w:r w:rsidR="008B30D3">
        <w:rPr>
          <w:rFonts w:ascii="Palatino Linotype" w:eastAsia="Calibri" w:hAnsi="Palatino Linotype" w:cs="Arial"/>
          <w:sz w:val="24"/>
          <w:szCs w:val="24"/>
        </w:rPr>
        <w:t>a</w:t>
      </w:r>
      <w:r w:rsidR="009A0D68">
        <w:rPr>
          <w:rFonts w:ascii="Palatino Linotype" w:eastAsia="Calibri" w:hAnsi="Palatino Linotype" w:cs="Arial"/>
          <w:sz w:val="24"/>
          <w:szCs w:val="24"/>
        </w:rPr>
        <w:t xml:space="preserve"> </w:t>
      </w:r>
      <w:r w:rsidR="008B30D3">
        <w:rPr>
          <w:rFonts w:ascii="Palatino Linotype" w:eastAsia="Calibri" w:hAnsi="Palatino Linotype" w:cs="Arial"/>
          <w:b/>
          <w:sz w:val="24"/>
          <w:szCs w:val="24"/>
        </w:rPr>
        <w:t>Universidad Politécnica del Valle de Toluca</w:t>
      </w:r>
      <w:r w:rsidR="0045613E">
        <w:rPr>
          <w:rFonts w:ascii="Palatino Linotype" w:hAnsi="Palatino Linotype" w:cs="Arial"/>
          <w:b/>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AE6802">
        <w:rPr>
          <w:rFonts w:ascii="Palatino Linotype" w:hAnsi="Palatino Linotype" w:cs="Arial"/>
          <w:b/>
          <w:bCs/>
          <w:lang w:eastAsia="es-MX"/>
        </w:rPr>
        <w:t>02015/INFOEM/IP/RR/2018 y su acumulado 02114/INFOEM/IP/RR/2018</w:t>
      </w:r>
      <w:r w:rsidRPr="00922197">
        <w:rPr>
          <w:rFonts w:ascii="Palatino Linotype" w:eastAsia="Calibri" w:hAnsi="Palatino Linotype" w:cs="Arial"/>
          <w:b/>
          <w:sz w:val="24"/>
          <w:szCs w:val="24"/>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AE6802">
      <w:pPr>
        <w:numPr>
          <w:ilvl w:val="0"/>
          <w:numId w:val="1"/>
        </w:numPr>
        <w:spacing w:after="0" w:line="360" w:lineRule="auto"/>
        <w:ind w:left="284" w:hanging="284"/>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determina </w:t>
      </w:r>
      <w:r w:rsidR="0098539C">
        <w:rPr>
          <w:rFonts w:ascii="Palatino Linotype" w:eastAsia="Calibri" w:hAnsi="Palatino Linotype" w:cs="Arial"/>
          <w:b/>
          <w:sz w:val="24"/>
          <w:szCs w:val="24"/>
        </w:rPr>
        <w:t>CONFIRMAR</w:t>
      </w:r>
      <w:r w:rsidRPr="00427B79">
        <w:rPr>
          <w:rFonts w:ascii="Palatino Linotype" w:eastAsia="Calibri" w:hAnsi="Palatino Linotype" w:cs="Arial"/>
          <w:sz w:val="24"/>
          <w:szCs w:val="24"/>
        </w:rPr>
        <w:t xml:space="preserve"> el recurso de revisión, tomando en consideración la respuesta del </w:t>
      </w:r>
      <w:r w:rsidR="0098539C" w:rsidRPr="0098539C">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AE6802">
      <w:pPr>
        <w:numPr>
          <w:ilvl w:val="0"/>
          <w:numId w:val="1"/>
        </w:numPr>
        <w:spacing w:after="0" w:line="360" w:lineRule="auto"/>
        <w:ind w:left="284" w:hanging="284"/>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Estando de acuerdo c</w:t>
      </w:r>
      <w:r w:rsidR="008B30D3">
        <w:rPr>
          <w:rFonts w:ascii="Palatino Linotype" w:eastAsia="Calibri" w:hAnsi="Palatino Linotype" w:cs="Arial"/>
          <w:sz w:val="24"/>
          <w:szCs w:val="24"/>
        </w:rPr>
        <w:t xml:space="preserve">on la resolución formulada por </w:t>
      </w:r>
      <w:r w:rsidRPr="00427B79">
        <w:rPr>
          <w:rFonts w:ascii="Palatino Linotype" w:eastAsia="Calibri" w:hAnsi="Palatino Linotype" w:cs="Arial"/>
          <w:sz w:val="24"/>
          <w:szCs w:val="24"/>
        </w:rPr>
        <w:t>l</w:t>
      </w:r>
      <w:r w:rsidR="008B30D3">
        <w:rPr>
          <w:rFonts w:ascii="Palatino Linotype" w:eastAsia="Calibri" w:hAnsi="Palatino Linotype" w:cs="Arial"/>
          <w:sz w:val="24"/>
          <w:szCs w:val="24"/>
        </w:rPr>
        <w:t>a comisionada</w:t>
      </w:r>
      <w:r w:rsidRPr="00427B79">
        <w:rPr>
          <w:rFonts w:ascii="Palatino Linotype" w:eastAsia="Calibri" w:hAnsi="Palatino Linotype" w:cs="Arial"/>
          <w:sz w:val="24"/>
          <w:szCs w:val="24"/>
        </w:rPr>
        <w:t xml:space="preserve"> ponente, </w:t>
      </w:r>
      <w:r w:rsidR="00AE6802">
        <w:rPr>
          <w:rFonts w:ascii="Palatino Linotype" w:eastAsia="Calibri" w:hAnsi="Palatino Linotype" w:cs="Arial"/>
          <w:sz w:val="24"/>
          <w:szCs w:val="24"/>
        </w:rPr>
        <w:t>nuestro</w:t>
      </w:r>
      <w:r w:rsidRPr="00427B79">
        <w:rPr>
          <w:rFonts w:ascii="Palatino Linotype" w:eastAsia="Calibri" w:hAnsi="Palatino Linotype" w:cs="Arial"/>
          <w:sz w:val="24"/>
          <w:szCs w:val="24"/>
        </w:rPr>
        <w:t xml:space="preserve"> voto particular se deriva de</w:t>
      </w:r>
      <w:r w:rsidRPr="00427B79">
        <w:rPr>
          <w:rFonts w:ascii="Palatino Linotype" w:eastAsia="Calibri" w:hAnsi="Palatino Linotype" w:cs="Arial"/>
          <w:sz w:val="24"/>
          <w:szCs w:val="24"/>
          <w:lang w:val="es-ES"/>
        </w:rPr>
        <w:t xml:space="preserve"> </w:t>
      </w:r>
      <w:r w:rsidR="00E97A4D">
        <w:rPr>
          <w:rFonts w:ascii="Palatino Linotype" w:eastAsia="Calibri" w:hAnsi="Palatino Linotype" w:cs="Arial"/>
          <w:sz w:val="24"/>
          <w:szCs w:val="24"/>
          <w:lang w:val="es-ES"/>
        </w:rPr>
        <w:t xml:space="preserve">la pretensión de cobro por digitalización que el </w:t>
      </w:r>
      <w:r w:rsidR="00AA7A15" w:rsidRPr="00AA7A15">
        <w:rPr>
          <w:rFonts w:ascii="Palatino Linotype" w:eastAsia="Calibri" w:hAnsi="Palatino Linotype" w:cs="Arial"/>
          <w:sz w:val="24"/>
          <w:szCs w:val="24"/>
          <w:lang w:val="es-ES"/>
        </w:rPr>
        <w:t>sujeto obligado</w:t>
      </w:r>
      <w:r w:rsidR="00AA7A15">
        <w:rPr>
          <w:rFonts w:ascii="Palatino Linotype" w:eastAsia="Calibri" w:hAnsi="Palatino Linotype" w:cs="Arial"/>
          <w:sz w:val="24"/>
          <w:szCs w:val="24"/>
          <w:lang w:val="es-ES"/>
        </w:rPr>
        <w:t xml:space="preserve"> </w:t>
      </w:r>
      <w:r w:rsidR="0098539C">
        <w:rPr>
          <w:rFonts w:ascii="Palatino Linotype" w:eastAsia="Calibri" w:hAnsi="Palatino Linotype" w:cs="Arial"/>
          <w:sz w:val="24"/>
          <w:szCs w:val="24"/>
          <w:lang w:val="es-ES"/>
        </w:rPr>
        <w:t>realizara</w:t>
      </w:r>
      <w:r w:rsidR="00E97A4D">
        <w:rPr>
          <w:rFonts w:ascii="Palatino Linotype" w:eastAsia="Calibri" w:hAnsi="Palatino Linotype" w:cs="Arial"/>
          <w:sz w:val="24"/>
          <w:szCs w:val="24"/>
          <w:lang w:val="es-ES"/>
        </w:rPr>
        <w:t xml:space="preserve"> a</w:t>
      </w:r>
      <w:r w:rsidR="0098539C">
        <w:rPr>
          <w:rFonts w:ascii="Palatino Linotype" w:eastAsia="Calibri" w:hAnsi="Palatino Linotype" w:cs="Arial"/>
          <w:sz w:val="24"/>
          <w:szCs w:val="24"/>
          <w:lang w:val="es-ES"/>
        </w:rPr>
        <w:t>l</w:t>
      </w:r>
      <w:r w:rsidR="00E97A4D">
        <w:rPr>
          <w:rFonts w:ascii="Palatino Linotype" w:eastAsia="Calibri" w:hAnsi="Palatino Linotype" w:cs="Arial"/>
          <w:sz w:val="24"/>
          <w:szCs w:val="24"/>
          <w:lang w:val="es-ES"/>
        </w:rPr>
        <w:t xml:space="preserve"> </w:t>
      </w:r>
      <w:r w:rsidR="00E97A4D">
        <w:rPr>
          <w:rFonts w:ascii="Palatino Linotype" w:eastAsia="Calibri" w:hAnsi="Palatino Linotype" w:cs="Arial"/>
          <w:b/>
          <w:sz w:val="24"/>
          <w:szCs w:val="24"/>
          <w:lang w:val="es-ES"/>
        </w:rPr>
        <w:t>RECURRENTE</w:t>
      </w:r>
      <w:r w:rsidR="00E97A4D">
        <w:rPr>
          <w:rFonts w:ascii="Palatino Linotype" w:eastAsia="Calibri" w:hAnsi="Palatino Linotype" w:cs="Arial"/>
          <w:sz w:val="24"/>
          <w:szCs w:val="24"/>
          <w:lang w:val="es-ES"/>
        </w:rPr>
        <w:t xml:space="preserve"> a efecto de que se le entregue la información.</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AE6802">
      <w:pPr>
        <w:numPr>
          <w:ilvl w:val="0"/>
          <w:numId w:val="1"/>
        </w:numPr>
        <w:spacing w:after="0" w:line="360" w:lineRule="auto"/>
        <w:ind w:left="284" w:hanging="284"/>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8E3E36">
      <w:pPr>
        <w:pStyle w:val="Ttulo1"/>
        <w:numPr>
          <w:ilvl w:val="0"/>
          <w:numId w:val="2"/>
        </w:numPr>
        <w:ind w:left="567" w:hanging="425"/>
        <w:rPr>
          <w:rFonts w:eastAsia="Calibri"/>
          <w:color w:val="auto"/>
          <w:szCs w:val="24"/>
          <w:lang w:val="es-ES"/>
        </w:rPr>
      </w:pPr>
      <w:bookmarkStart w:id="2" w:name="_Toc521928204"/>
      <w:r w:rsidRPr="00427B79">
        <w:rPr>
          <w:rFonts w:eastAsia="Calibri"/>
          <w:color w:val="auto"/>
          <w:szCs w:val="24"/>
          <w:lang w:val="es-ES"/>
        </w:rPr>
        <w:lastRenderedPageBreak/>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45613E" w:rsidRDefault="00E6179D" w:rsidP="00AE6802">
      <w:pPr>
        <w:numPr>
          <w:ilvl w:val="0"/>
          <w:numId w:val="1"/>
        </w:numPr>
        <w:spacing w:after="0" w:line="360" w:lineRule="auto"/>
        <w:ind w:left="284" w:hanging="284"/>
        <w:contextualSpacing/>
        <w:jc w:val="both"/>
        <w:rPr>
          <w:rFonts w:ascii="Palatino Linotype" w:eastAsia="Calibri" w:hAnsi="Palatino Linotype" w:cs="Times New Roman"/>
          <w:sz w:val="24"/>
          <w:szCs w:val="24"/>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w:t>
      </w:r>
      <w:r w:rsidR="000C780A">
        <w:rPr>
          <w:rFonts w:ascii="Palatino Linotype" w:eastAsia="Calibri" w:hAnsi="Palatino Linotype" w:cs="Times New Roman"/>
          <w:sz w:val="24"/>
          <w:szCs w:val="24"/>
        </w:rPr>
        <w:t xml:space="preserve">o constitucional que le asiste a </w:t>
      </w:r>
      <w:r w:rsidRPr="00427B79">
        <w:rPr>
          <w:rFonts w:ascii="Palatino Linotype" w:eastAsia="Calibri" w:hAnsi="Palatino Linotype" w:cs="Times New Roman"/>
          <w:sz w:val="24"/>
          <w:szCs w:val="24"/>
        </w:rPr>
        <w:t>l</w:t>
      </w:r>
      <w:r w:rsidR="000C780A">
        <w:rPr>
          <w:rFonts w:ascii="Palatino Linotype" w:eastAsia="Calibri" w:hAnsi="Palatino Linotype" w:cs="Times New Roman"/>
          <w:sz w:val="24"/>
          <w:szCs w:val="24"/>
        </w:rPr>
        <w:t>a</w:t>
      </w:r>
      <w:r w:rsidRPr="00427B79">
        <w:rPr>
          <w:rFonts w:ascii="Palatino Linotype" w:eastAsia="Calibri" w:hAnsi="Palatino Linotype" w:cs="Times New Roman"/>
          <w:sz w:val="24"/>
          <w:szCs w:val="24"/>
        </w:rPr>
        <w:t xml:space="preserve"> particular, formuló </w:t>
      </w:r>
      <w:r w:rsidR="0098539C">
        <w:rPr>
          <w:rFonts w:ascii="Palatino Linotype" w:eastAsia="Calibri" w:hAnsi="Palatino Linotype" w:cs="Times New Roman"/>
          <w:sz w:val="24"/>
          <w:szCs w:val="24"/>
        </w:rPr>
        <w:t>una serie de</w:t>
      </w:r>
      <w:r w:rsidRPr="00427B79">
        <w:rPr>
          <w:rFonts w:ascii="Palatino Linotype" w:eastAsia="Calibri" w:hAnsi="Palatino Linotype" w:cs="Times New Roman"/>
          <w:sz w:val="24"/>
          <w:szCs w:val="24"/>
        </w:rPr>
        <w:t xml:space="preserve"> solicitu</w:t>
      </w:r>
      <w:r w:rsidR="003E0648">
        <w:rPr>
          <w:rFonts w:ascii="Palatino Linotype" w:eastAsia="Calibri" w:hAnsi="Palatino Linotype" w:cs="Times New Roman"/>
          <w:sz w:val="24"/>
          <w:szCs w:val="24"/>
        </w:rPr>
        <w:t>d</w:t>
      </w:r>
      <w:r w:rsidR="0098539C">
        <w:rPr>
          <w:rFonts w:ascii="Palatino Linotype" w:eastAsia="Calibri" w:hAnsi="Palatino Linotype" w:cs="Times New Roman"/>
          <w:sz w:val="24"/>
          <w:szCs w:val="24"/>
        </w:rPr>
        <w:t>es</w:t>
      </w:r>
      <w:r w:rsidR="003E0648">
        <w:rPr>
          <w:rFonts w:ascii="Palatino Linotype" w:eastAsia="Calibri" w:hAnsi="Palatino Linotype" w:cs="Times New Roman"/>
          <w:sz w:val="24"/>
          <w:szCs w:val="24"/>
        </w:rPr>
        <w:t xml:space="preserve"> de información dirigida</w:t>
      </w:r>
      <w:r w:rsidR="0098539C">
        <w:rPr>
          <w:rFonts w:ascii="Palatino Linotype" w:eastAsia="Calibri" w:hAnsi="Palatino Linotype" w:cs="Times New Roman"/>
          <w:sz w:val="24"/>
          <w:szCs w:val="24"/>
        </w:rPr>
        <w:t>s</w:t>
      </w:r>
      <w:r w:rsidR="003E0648">
        <w:rPr>
          <w:rFonts w:ascii="Palatino Linotype" w:eastAsia="Calibri" w:hAnsi="Palatino Linotype" w:cs="Times New Roman"/>
          <w:sz w:val="24"/>
          <w:szCs w:val="24"/>
        </w:rPr>
        <w:t xml:space="preserve"> hacia</w:t>
      </w:r>
      <w:r w:rsidR="00BB4414">
        <w:rPr>
          <w:rFonts w:ascii="Palatino Linotype" w:eastAsia="Calibri" w:hAnsi="Palatino Linotype" w:cs="Times New Roman"/>
          <w:sz w:val="24"/>
          <w:szCs w:val="24"/>
        </w:rPr>
        <w:t xml:space="preserve"> l</w:t>
      </w:r>
      <w:r w:rsidR="000C780A">
        <w:rPr>
          <w:rFonts w:ascii="Palatino Linotype" w:eastAsia="Calibri" w:hAnsi="Palatino Linotype" w:cs="Times New Roman"/>
          <w:sz w:val="24"/>
          <w:szCs w:val="24"/>
        </w:rPr>
        <w:t>a</w:t>
      </w:r>
      <w:r w:rsidR="009A0D68" w:rsidRPr="009A0D68">
        <w:t xml:space="preserve"> </w:t>
      </w:r>
      <w:r w:rsidR="000C780A">
        <w:rPr>
          <w:rFonts w:ascii="Palatino Linotype" w:eastAsia="Calibri" w:hAnsi="Palatino Linotype" w:cs="Times New Roman"/>
          <w:b/>
          <w:sz w:val="24"/>
          <w:szCs w:val="24"/>
        </w:rPr>
        <w:t>Universidad Politécnica del Valle de Toluca</w:t>
      </w:r>
      <w:r w:rsidR="003C37C6" w:rsidRPr="004A5F86">
        <w:rPr>
          <w:rFonts w:ascii="Palatino Linotype" w:eastAsia="Calibri" w:hAnsi="Palatino Linotype" w:cs="Times New Roman"/>
          <w:b/>
          <w:sz w:val="24"/>
          <w:szCs w:val="24"/>
        </w:rPr>
        <w:t>,</w:t>
      </w:r>
      <w:r w:rsidRPr="00427B79">
        <w:rPr>
          <w:rFonts w:ascii="Palatino Linotype" w:eastAsia="Calibri" w:hAnsi="Palatino Linotype" w:cs="Times New Roman"/>
          <w:sz w:val="24"/>
          <w:szCs w:val="24"/>
        </w:rPr>
        <w:t xml:space="preserve"> en dicha</w:t>
      </w:r>
      <w:r w:rsidR="0098539C">
        <w:rPr>
          <w:rFonts w:ascii="Palatino Linotype" w:eastAsia="Calibri" w:hAnsi="Palatino Linotype" w:cs="Times New Roman"/>
          <w:sz w:val="24"/>
          <w:szCs w:val="24"/>
        </w:rPr>
        <w:t>s</w:t>
      </w:r>
      <w:r w:rsidRPr="00427B79">
        <w:rPr>
          <w:rFonts w:ascii="Palatino Linotype" w:eastAsia="Calibri" w:hAnsi="Palatino Linotype" w:cs="Times New Roman"/>
          <w:sz w:val="24"/>
          <w:szCs w:val="24"/>
        </w:rPr>
        <w:t xml:space="preserve"> solicitud</w:t>
      </w:r>
      <w:r w:rsidR="0098539C">
        <w:rPr>
          <w:rFonts w:ascii="Palatino Linotype" w:eastAsia="Calibri" w:hAnsi="Palatino Linotype" w:cs="Times New Roman"/>
          <w:sz w:val="24"/>
          <w:szCs w:val="24"/>
        </w:rPr>
        <w:t>es planteó lo siguiente:</w:t>
      </w:r>
    </w:p>
    <w:p w:rsidR="0098539C" w:rsidRDefault="0098539C" w:rsidP="0098539C">
      <w:pPr>
        <w:pStyle w:val="Prrafodelista"/>
        <w:numPr>
          <w:ilvl w:val="0"/>
          <w:numId w:val="8"/>
        </w:numPr>
        <w:spacing w:before="240" w:line="360" w:lineRule="auto"/>
        <w:ind w:right="850"/>
        <w:jc w:val="both"/>
        <w:rPr>
          <w:rFonts w:ascii="Palatino Linotype" w:eastAsia="Times New Roman" w:hAnsi="Palatino Linotype" w:cs="Times New Roman"/>
          <w:sz w:val="24"/>
          <w:szCs w:val="24"/>
          <w:lang w:val="es-ES_tradnl" w:eastAsia="es-ES"/>
        </w:rPr>
      </w:pPr>
      <w:r w:rsidRPr="0098539C">
        <w:rPr>
          <w:rFonts w:ascii="Palatino Linotype" w:hAnsi="Palatino Linotype" w:cs="Arial"/>
          <w:b/>
          <w:sz w:val="24"/>
          <w:szCs w:val="24"/>
        </w:rPr>
        <w:t xml:space="preserve">Solicitud de información </w:t>
      </w:r>
      <w:r w:rsidR="00AE6802" w:rsidRPr="00A85063">
        <w:rPr>
          <w:rFonts w:ascii="Palatino Linotype" w:hAnsi="Palatino Linotype" w:cs="Arial"/>
          <w:b/>
        </w:rPr>
        <w:t>00180/UPVT/IP/2018</w:t>
      </w:r>
      <w:r>
        <w:rPr>
          <w:rFonts w:ascii="Palatino Linotype" w:hAnsi="Palatino Linotype" w:cs="Arial"/>
          <w:b/>
          <w:sz w:val="24"/>
        </w:rPr>
        <w:t xml:space="preserve">: </w:t>
      </w:r>
      <w:r w:rsidR="00AE6802" w:rsidRPr="006B26E3">
        <w:rPr>
          <w:rFonts w:ascii="Palatino Linotype" w:hAnsi="Palatino Linotype"/>
          <w:i/>
          <w:lang w:val="es-ES_tradnl" w:eastAsia="es-ES"/>
        </w:rPr>
        <w:t>“</w:t>
      </w:r>
      <w:r w:rsidR="00AE6802" w:rsidRPr="00A85063">
        <w:rPr>
          <w:rFonts w:ascii="Palatino Linotype" w:hAnsi="Palatino Linotype"/>
          <w:i/>
          <w:lang w:val="es-ES_tradnl" w:eastAsia="es-ES"/>
        </w:rPr>
        <w:t>Historico de oficios, correos o medios de invitación a quienes integran el Comite de Transparencia u Organismo similar</w:t>
      </w:r>
      <w:r w:rsidR="00AE6802" w:rsidRPr="006B26E3">
        <w:rPr>
          <w:rFonts w:ascii="Palatino Linotype" w:hAnsi="Palatino Linotype"/>
          <w:i/>
          <w:lang w:val="es-ES_tradnl" w:eastAsia="es-ES"/>
        </w:rPr>
        <w:t>”</w:t>
      </w:r>
      <w:r w:rsidR="00AE6802" w:rsidRPr="006B26E3">
        <w:rPr>
          <w:rFonts w:ascii="Palatino Linotype" w:hAnsi="Palatino Linotype"/>
          <w:lang w:val="es-ES_tradnl" w:eastAsia="es-ES"/>
        </w:rPr>
        <w:t xml:space="preserve"> </w:t>
      </w:r>
      <w:r>
        <w:rPr>
          <w:rFonts w:ascii="Palatino Linotype" w:eastAsia="Times New Roman" w:hAnsi="Palatino Linotype" w:cs="Times New Roman"/>
          <w:sz w:val="24"/>
          <w:szCs w:val="24"/>
          <w:lang w:val="es-ES_tradnl" w:eastAsia="es-ES"/>
        </w:rPr>
        <w:t>(Sic).</w:t>
      </w:r>
    </w:p>
    <w:p w:rsidR="00AA7A15" w:rsidRPr="0098539C" w:rsidRDefault="00AA7A15" w:rsidP="00AA7A15">
      <w:pPr>
        <w:pStyle w:val="Prrafodelista"/>
        <w:spacing w:before="240" w:line="360" w:lineRule="auto"/>
        <w:ind w:left="1571" w:right="850"/>
        <w:jc w:val="both"/>
        <w:rPr>
          <w:rFonts w:ascii="Palatino Linotype" w:eastAsia="Times New Roman" w:hAnsi="Palatino Linotype" w:cs="Times New Roman"/>
          <w:sz w:val="24"/>
          <w:szCs w:val="24"/>
          <w:lang w:val="es-ES_tradnl" w:eastAsia="es-ES"/>
        </w:rPr>
      </w:pPr>
    </w:p>
    <w:p w:rsidR="0098539C" w:rsidRPr="0098539C" w:rsidRDefault="0098539C" w:rsidP="0098539C">
      <w:pPr>
        <w:pStyle w:val="Prrafodelista"/>
        <w:numPr>
          <w:ilvl w:val="0"/>
          <w:numId w:val="8"/>
        </w:numPr>
        <w:spacing w:before="240" w:line="360" w:lineRule="auto"/>
        <w:ind w:right="850"/>
        <w:jc w:val="both"/>
        <w:rPr>
          <w:rFonts w:ascii="Palatino Linotype" w:eastAsia="Times New Roman" w:hAnsi="Palatino Linotype" w:cs="Times New Roman"/>
          <w:i/>
          <w:sz w:val="24"/>
          <w:szCs w:val="24"/>
          <w:lang w:val="es-ES_tradnl" w:eastAsia="es-ES"/>
        </w:rPr>
      </w:pPr>
      <w:r w:rsidRPr="0098539C">
        <w:rPr>
          <w:rFonts w:ascii="Palatino Linotype" w:hAnsi="Palatino Linotype" w:cs="Arial"/>
          <w:b/>
          <w:sz w:val="24"/>
          <w:szCs w:val="24"/>
        </w:rPr>
        <w:t xml:space="preserve">Solicitud de información </w:t>
      </w:r>
      <w:r w:rsidR="00AE6802" w:rsidRPr="00D673F7">
        <w:rPr>
          <w:rFonts w:ascii="Palatino Linotype" w:hAnsi="Palatino Linotype" w:cs="Arial"/>
          <w:b/>
        </w:rPr>
        <w:t>00206/UPVT/IP/2018</w:t>
      </w:r>
      <w:r>
        <w:rPr>
          <w:rFonts w:ascii="Palatino Linotype" w:hAnsi="Palatino Linotype" w:cs="Arial"/>
          <w:b/>
          <w:sz w:val="24"/>
        </w:rPr>
        <w:t xml:space="preserve">: </w:t>
      </w:r>
      <w:r w:rsidR="00AE6802" w:rsidRPr="006B26E3">
        <w:rPr>
          <w:rFonts w:ascii="Palatino Linotype" w:hAnsi="Palatino Linotype"/>
          <w:i/>
          <w:lang w:val="es-ES_tradnl" w:eastAsia="es-ES"/>
        </w:rPr>
        <w:t>“</w:t>
      </w:r>
      <w:r w:rsidR="00AE6802" w:rsidRPr="00D673F7">
        <w:rPr>
          <w:rFonts w:ascii="Palatino Linotype" w:hAnsi="Palatino Linotype"/>
          <w:i/>
          <w:lang w:val="es-ES_tradnl" w:eastAsia="es-ES"/>
        </w:rPr>
        <w:t>Evidenciar el histórico de oficios externos recibidos por la Rectoría</w:t>
      </w:r>
      <w:r w:rsidR="00AE6802" w:rsidRPr="00F51E44">
        <w:rPr>
          <w:rFonts w:ascii="Palatino Linotype" w:hAnsi="Palatino Linotype"/>
          <w:i/>
          <w:lang w:val="es-ES_tradnl" w:eastAsia="es-ES"/>
        </w:rPr>
        <w:t>.</w:t>
      </w:r>
      <w:r w:rsidR="00AE6802" w:rsidRPr="006B26E3">
        <w:rPr>
          <w:rFonts w:ascii="Palatino Linotype" w:hAnsi="Palatino Linotype"/>
          <w:i/>
          <w:lang w:val="es-ES_tradnl" w:eastAsia="es-ES"/>
        </w:rPr>
        <w:t>”</w:t>
      </w:r>
      <w:r w:rsidR="00AE6802" w:rsidRPr="006B26E3">
        <w:rPr>
          <w:rFonts w:ascii="Palatino Linotype" w:hAnsi="Palatino Linotype"/>
          <w:lang w:val="es-ES_tradnl" w:eastAsia="es-ES"/>
        </w:rPr>
        <w:t xml:space="preserve"> </w:t>
      </w:r>
      <w:r>
        <w:rPr>
          <w:rFonts w:ascii="Palatino Linotype" w:eastAsia="Times New Roman" w:hAnsi="Palatino Linotype" w:cs="Times New Roman"/>
          <w:i/>
          <w:sz w:val="24"/>
          <w:szCs w:val="24"/>
          <w:lang w:val="es-ES_tradnl" w:eastAsia="es-ES"/>
        </w:rPr>
        <w:t xml:space="preserve"> </w:t>
      </w:r>
      <w:r>
        <w:rPr>
          <w:rFonts w:ascii="Palatino Linotype" w:eastAsia="Times New Roman" w:hAnsi="Palatino Linotype" w:cs="Times New Roman"/>
          <w:sz w:val="24"/>
          <w:szCs w:val="24"/>
          <w:lang w:val="es-ES_tradnl" w:eastAsia="es-ES"/>
        </w:rPr>
        <w:t>(Sic).</w:t>
      </w:r>
    </w:p>
    <w:p w:rsidR="00E6179D" w:rsidRPr="00AA7A15" w:rsidRDefault="00E6179D" w:rsidP="00AE6802">
      <w:pPr>
        <w:pStyle w:val="Sinespaciado"/>
        <w:numPr>
          <w:ilvl w:val="0"/>
          <w:numId w:val="1"/>
        </w:numPr>
        <w:spacing w:before="240" w:after="240" w:line="360" w:lineRule="auto"/>
        <w:ind w:left="284" w:right="51" w:hanging="284"/>
        <w:jc w:val="both"/>
        <w:rPr>
          <w:rFonts w:ascii="Palatino Linotype" w:eastAsia="Calibri" w:hAnsi="Palatino Linotype" w:cs="Arial"/>
          <w:sz w:val="24"/>
          <w:szCs w:val="24"/>
        </w:rPr>
      </w:pPr>
      <w:r w:rsidRPr="00AA7A15">
        <w:rPr>
          <w:rFonts w:ascii="Palatino Linotype" w:eastAsia="Calibri" w:hAnsi="Palatino Linotype" w:cs="Arial"/>
          <w:sz w:val="24"/>
          <w:szCs w:val="24"/>
        </w:rPr>
        <w:t>Bajo e</w:t>
      </w:r>
      <w:r w:rsidR="001F3C81">
        <w:rPr>
          <w:rFonts w:ascii="Palatino Linotype" w:eastAsia="Calibri" w:hAnsi="Palatino Linotype" w:cs="Arial"/>
          <w:sz w:val="24"/>
          <w:szCs w:val="24"/>
        </w:rPr>
        <w:t>sas consideraciones la Ponencia</w:t>
      </w:r>
      <w:r w:rsidR="00E97A4D" w:rsidRPr="00AA7A15">
        <w:rPr>
          <w:rFonts w:ascii="Palatino Linotype" w:eastAsia="Calibri" w:hAnsi="Palatino Linotype" w:cs="Arial"/>
          <w:sz w:val="24"/>
          <w:szCs w:val="24"/>
        </w:rPr>
        <w:t xml:space="preserve"> resolvió</w:t>
      </w:r>
      <w:r w:rsidR="00FD1FAD" w:rsidRPr="00AA7A15">
        <w:rPr>
          <w:rFonts w:ascii="Palatino Linotype" w:eastAsia="Calibri" w:hAnsi="Palatino Linotype" w:cs="Arial"/>
          <w:sz w:val="24"/>
          <w:szCs w:val="24"/>
        </w:rPr>
        <w:t xml:space="preserve"> el recurso de revisión</w:t>
      </w:r>
      <w:r w:rsidRPr="00AA7A15">
        <w:rPr>
          <w:rFonts w:ascii="Palatino Linotype" w:eastAsia="Calibri" w:hAnsi="Palatino Linotype" w:cs="Arial"/>
          <w:sz w:val="24"/>
          <w:szCs w:val="24"/>
        </w:rPr>
        <w:t xml:space="preserve"> </w:t>
      </w:r>
      <w:r w:rsidR="00AA7A15" w:rsidRPr="00AA7A15">
        <w:rPr>
          <w:rFonts w:ascii="Palatino Linotype" w:eastAsia="Calibri" w:hAnsi="Palatino Linotype" w:cs="Arial"/>
          <w:sz w:val="24"/>
          <w:szCs w:val="24"/>
        </w:rPr>
        <w:t xml:space="preserve">basando </w:t>
      </w:r>
      <w:r w:rsidR="00AA7A15" w:rsidRPr="00AA7A15">
        <w:rPr>
          <w:rFonts w:ascii="Palatino Linotype" w:hAnsi="Palatino Linotype" w:cs="Arial"/>
          <w:sz w:val="24"/>
          <w:szCs w:val="24"/>
        </w:rPr>
        <w:t>el objeto de estudio de la resolución en determinar si es procedente el cobro la entrega de la información solicitada por tener que digitalizarse</w:t>
      </w:r>
      <w:r w:rsidR="00B16CE1" w:rsidRPr="00AA7A15">
        <w:rPr>
          <w:rFonts w:ascii="Palatino Linotype" w:hAnsi="Palatino Linotype"/>
          <w:b/>
          <w:sz w:val="24"/>
          <w:szCs w:val="24"/>
        </w:rPr>
        <w:t>,</w:t>
      </w:r>
      <w:r w:rsidR="00B16CE1" w:rsidRPr="00AA7A15">
        <w:rPr>
          <w:sz w:val="24"/>
          <w:szCs w:val="24"/>
        </w:rPr>
        <w:t xml:space="preserve"> </w:t>
      </w:r>
      <w:r w:rsidR="00FD1FAD" w:rsidRPr="00AA7A15">
        <w:rPr>
          <w:rFonts w:ascii="Palatino Linotype" w:eastAsia="Calibri" w:hAnsi="Palatino Linotype" w:cs="Arial"/>
          <w:sz w:val="24"/>
          <w:szCs w:val="24"/>
        </w:rPr>
        <w:t>y así</w:t>
      </w:r>
      <w:r w:rsidR="00AA7A15" w:rsidRPr="00AA7A15">
        <w:rPr>
          <w:rFonts w:ascii="Palatino Linotype" w:eastAsia="Calibri" w:hAnsi="Palatino Linotype" w:cs="Arial"/>
          <w:sz w:val="24"/>
          <w:szCs w:val="24"/>
        </w:rPr>
        <w:t>, estar en condiciones de</w:t>
      </w:r>
      <w:r w:rsidR="00FD1FAD" w:rsidRPr="00AA7A15">
        <w:rPr>
          <w:rFonts w:ascii="Palatino Linotype" w:eastAsia="Calibri" w:hAnsi="Palatino Linotype" w:cs="Arial"/>
          <w:sz w:val="24"/>
          <w:szCs w:val="24"/>
        </w:rPr>
        <w:t xml:space="preserve"> ordenar </w:t>
      </w:r>
      <w:r w:rsidR="005537BE">
        <w:rPr>
          <w:rFonts w:ascii="Palatino Linotype" w:eastAsia="Calibri" w:hAnsi="Palatino Linotype" w:cs="Arial"/>
          <w:sz w:val="24"/>
          <w:szCs w:val="24"/>
        </w:rPr>
        <w:t>la entrega de</w:t>
      </w:r>
      <w:r w:rsidR="00AA7A15" w:rsidRPr="00AA7A15">
        <w:rPr>
          <w:rFonts w:ascii="Palatino Linotype" w:eastAsia="Calibri" w:hAnsi="Palatino Linotype" w:cs="Arial"/>
          <w:sz w:val="24"/>
          <w:szCs w:val="24"/>
        </w:rPr>
        <w:t xml:space="preserve"> la información al</w:t>
      </w:r>
      <w:r w:rsidR="00B16CE1" w:rsidRPr="00AA7A15">
        <w:rPr>
          <w:rFonts w:ascii="Palatino Linotype" w:eastAsia="Calibri" w:hAnsi="Palatino Linotype" w:cs="Arial"/>
          <w:sz w:val="24"/>
          <w:szCs w:val="24"/>
        </w:rPr>
        <w:t xml:space="preserve"> </w:t>
      </w:r>
      <w:r w:rsidR="00AA7A15" w:rsidRPr="00AA7A15">
        <w:rPr>
          <w:rFonts w:ascii="Palatino Linotype" w:eastAsia="Calibri" w:hAnsi="Palatino Linotype" w:cs="Arial"/>
          <w:sz w:val="24"/>
          <w:szCs w:val="24"/>
        </w:rPr>
        <w:t>sujeto obligado</w:t>
      </w:r>
      <w:r w:rsidRPr="00AA7A15">
        <w:rPr>
          <w:rFonts w:ascii="Palatino Linotype" w:eastAsia="Calibri" w:hAnsi="Palatino Linotype" w:cs="Arial"/>
          <w:sz w:val="24"/>
          <w:szCs w:val="24"/>
        </w:rPr>
        <w:t>.</w:t>
      </w:r>
    </w:p>
    <w:p w:rsidR="001F3C81" w:rsidRDefault="001F3C81" w:rsidP="001F3C81">
      <w:pPr>
        <w:pStyle w:val="Sinespaciado"/>
        <w:numPr>
          <w:ilvl w:val="0"/>
          <w:numId w:val="1"/>
        </w:numPr>
        <w:spacing w:before="240" w:after="240" w:line="360" w:lineRule="auto"/>
        <w:ind w:left="284" w:right="51" w:hanging="284"/>
        <w:jc w:val="both"/>
        <w:rPr>
          <w:rFonts w:ascii="Palatino Linotype" w:hAnsi="Palatino Linotype" w:cs="Arial"/>
          <w:color w:val="000000" w:themeColor="text1"/>
          <w:sz w:val="24"/>
          <w:szCs w:val="24"/>
        </w:rPr>
      </w:pPr>
      <w:r w:rsidRPr="001F3C81">
        <w:rPr>
          <w:rFonts w:ascii="Palatino Linotype" w:hAnsi="Palatino Linotype" w:cs="Arial"/>
          <w:color w:val="000000" w:themeColor="text1"/>
          <w:sz w:val="24"/>
          <w:szCs w:val="24"/>
        </w:rPr>
        <w:t xml:space="preserve">Determinando a su decir, que le asiste la razón a sujeto obligado al referir que no existe obligación en materia de transparencia que lo obligue a poseer la información solicitada en medio electrónico; advirtiendo además  que cuando la información solicitada obra en más de 20 (veinte) hojas, y que no corresponde a información común o específica que los Sujetos Obligados deben poner a disposición del público, y si la solicitud de información fue atendida </w:t>
      </w:r>
      <w:r w:rsidRPr="001F3C81">
        <w:rPr>
          <w:rFonts w:ascii="Palatino Linotype" w:hAnsi="Palatino Linotype" w:cs="Arial"/>
          <w:color w:val="000000" w:themeColor="text1"/>
          <w:sz w:val="24"/>
          <w:szCs w:val="24"/>
        </w:rPr>
        <w:lastRenderedPageBreak/>
        <w:t xml:space="preserve">debidamente y el </w:t>
      </w:r>
      <w:r w:rsidRPr="001F3C81">
        <w:rPr>
          <w:rFonts w:ascii="Palatino Linotype" w:hAnsi="Palatino Linotype" w:cs="Arial"/>
          <w:b/>
          <w:color w:val="000000" w:themeColor="text1"/>
          <w:sz w:val="24"/>
          <w:szCs w:val="24"/>
        </w:rPr>
        <w:t>Sujeto Obligado</w:t>
      </w:r>
      <w:r w:rsidRPr="001F3C81">
        <w:rPr>
          <w:rFonts w:ascii="Palatino Linotype" w:hAnsi="Palatino Linotype" w:cs="Arial"/>
          <w:color w:val="000000" w:themeColor="text1"/>
          <w:sz w:val="24"/>
          <w:szCs w:val="24"/>
        </w:rPr>
        <w:t xml:space="preserve"> manifestando no poseer la información en forma digital. Fue que determinaron que resultaba procedente requerir el pago por la digitalización conforme a las disposiciones legales invocadas en el estudio de la resolución de referencia.</w:t>
      </w:r>
    </w:p>
    <w:p w:rsidR="008E3E36" w:rsidRDefault="008E3E36" w:rsidP="008E3E36">
      <w:pPr>
        <w:pStyle w:val="Sinespaciado"/>
        <w:spacing w:before="240" w:after="240" w:line="360" w:lineRule="auto"/>
        <w:ind w:left="284" w:right="51"/>
        <w:jc w:val="both"/>
        <w:rPr>
          <w:rFonts w:ascii="Palatino Linotype" w:hAnsi="Palatino Linotype" w:cs="Arial"/>
          <w:color w:val="000000" w:themeColor="text1"/>
          <w:sz w:val="24"/>
          <w:szCs w:val="24"/>
        </w:rPr>
      </w:pPr>
    </w:p>
    <w:p w:rsidR="00C602B8" w:rsidRPr="00C602B8" w:rsidRDefault="00A60C7E" w:rsidP="006609E0">
      <w:pPr>
        <w:pStyle w:val="Prrafodelista"/>
        <w:numPr>
          <w:ilvl w:val="0"/>
          <w:numId w:val="1"/>
        </w:numPr>
        <w:spacing w:before="240" w:after="240" w:line="360" w:lineRule="auto"/>
        <w:ind w:left="284" w:right="333" w:hanging="284"/>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w:t>
      </w:r>
      <w:r w:rsidR="00594E5C">
        <w:rPr>
          <w:rFonts w:ascii="Palatino Linotype" w:eastAsia="Times New Roman" w:hAnsi="Palatino Linotype" w:cs="Arial"/>
          <w:sz w:val="24"/>
        </w:rPr>
        <w:t>l</w:t>
      </w:r>
      <w:r>
        <w:rPr>
          <w:rFonts w:ascii="Palatino Linotype" w:eastAsia="Times New Roman" w:hAnsi="Palatino Linotype" w:cs="Arial"/>
          <w:sz w:val="24"/>
        </w:rPr>
        <w:t>a</w:t>
      </w:r>
      <w:r w:rsidR="00594E5C">
        <w:rPr>
          <w:rFonts w:ascii="Palatino Linotype" w:eastAsia="Times New Roman" w:hAnsi="Palatino Linotype" w:cs="Arial"/>
          <w:sz w:val="24"/>
        </w:rPr>
        <w:t xml:space="preserve">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pro de que </w:t>
      </w:r>
      <w:r w:rsidR="008216B4" w:rsidRPr="008216B4">
        <w:rPr>
          <w:rFonts w:ascii="Palatino Linotype" w:eastAsia="Times New Roman" w:hAnsi="Palatino Linotype" w:cs="Arial"/>
          <w:sz w:val="24"/>
        </w:rPr>
        <w:t xml:space="preserve">el </w:t>
      </w:r>
      <w:r w:rsidR="008216B4" w:rsidRPr="008216B4">
        <w:rPr>
          <w:rFonts w:ascii="Palatino Linotype" w:eastAsia="Times New Roman" w:hAnsi="Palatino Linotype" w:cs="Arial"/>
          <w:b/>
          <w:sz w:val="24"/>
        </w:rPr>
        <w:t xml:space="preserve">SUJETO OBLIGADO </w:t>
      </w:r>
      <w:r>
        <w:rPr>
          <w:rFonts w:ascii="Palatino Linotype" w:eastAsia="Times New Roman" w:hAnsi="Palatino Linotype" w:cs="Arial"/>
          <w:sz w:val="24"/>
        </w:rPr>
        <w:t xml:space="preserve">haga entrega de la información solicitada, el </w:t>
      </w:r>
      <w:r>
        <w:rPr>
          <w:rFonts w:ascii="Palatino Linotype" w:eastAsia="Times New Roman" w:hAnsi="Palatino Linotype" w:cs="Arial"/>
          <w:b/>
          <w:sz w:val="24"/>
        </w:rPr>
        <w:t>RECURRENTE</w:t>
      </w:r>
      <w:r>
        <w:rPr>
          <w:rFonts w:ascii="Palatino Linotype" w:eastAsia="Times New Roman" w:hAnsi="Palatino Linotype" w:cs="Arial"/>
          <w:sz w:val="24"/>
        </w:rPr>
        <w:t xml:space="preserve"> habrá de pagar primeramente los derechos correspondientes, entendié</w:t>
      </w:r>
      <w:r w:rsidR="00BA67DA">
        <w:rPr>
          <w:rFonts w:ascii="Palatino Linotype" w:eastAsia="Times New Roman" w:hAnsi="Palatino Linotype" w:cs="Arial"/>
          <w:sz w:val="24"/>
        </w:rPr>
        <w:t xml:space="preserve">ndose, </w:t>
      </w:r>
      <w:r w:rsidR="00BA67DA" w:rsidRPr="001553F5">
        <w:rPr>
          <w:rFonts w:ascii="Palatino Linotype" w:eastAsia="Times New Roman" w:hAnsi="Palatino Linotype" w:cs="Arial"/>
          <w:sz w:val="24"/>
          <w:u w:val="single"/>
        </w:rPr>
        <w:t xml:space="preserve">pagar por que la </w:t>
      </w:r>
      <w:r w:rsidR="00BA67DA" w:rsidRPr="001553F5">
        <w:rPr>
          <w:rFonts w:ascii="Palatino Linotype" w:eastAsia="Times New Roman" w:hAnsi="Palatino Linotype" w:cs="Arial"/>
          <w:b/>
          <w:sz w:val="24"/>
          <w:u w:val="single"/>
        </w:rPr>
        <w:t>Universidad Politécnica del Valle de Toluca</w:t>
      </w:r>
      <w:r w:rsidR="00BA67DA" w:rsidRPr="001553F5">
        <w:rPr>
          <w:rFonts w:ascii="Palatino Linotype" w:eastAsia="Times New Roman" w:hAnsi="Palatino Linotype" w:cs="Arial"/>
          <w:sz w:val="24"/>
          <w:u w:val="single"/>
        </w:rPr>
        <w:t xml:space="preserve"> digitalice la información</w:t>
      </w:r>
      <w:r w:rsidR="008216B4" w:rsidRPr="001553F5">
        <w:rPr>
          <w:rFonts w:ascii="Palatino Linotype" w:eastAsia="Times New Roman" w:hAnsi="Palatino Linotype" w:cs="Arial"/>
          <w:sz w:val="24"/>
          <w:u w:val="single"/>
        </w:rPr>
        <w:t>.</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6609E0">
      <w:pPr>
        <w:pStyle w:val="Ttulo2"/>
        <w:ind w:left="284"/>
        <w:rPr>
          <w:b/>
          <w:szCs w:val="24"/>
        </w:rPr>
      </w:pPr>
      <w:bookmarkStart w:id="3" w:name="_Toc469919070"/>
      <w:bookmarkStart w:id="4" w:name="_Toc521928205"/>
      <w:r w:rsidRPr="00427B79">
        <w:rPr>
          <w:b/>
          <w:szCs w:val="24"/>
        </w:rPr>
        <w:t>II</w:t>
      </w:r>
      <w:r w:rsidR="00680533" w:rsidRPr="00427B79">
        <w:rPr>
          <w:b/>
          <w:szCs w:val="24"/>
        </w:rPr>
        <w:t>I</w:t>
      </w:r>
      <w:r w:rsidRPr="00427B79">
        <w:rPr>
          <w:b/>
          <w:szCs w:val="24"/>
        </w:rPr>
        <w:t xml:space="preserve">. Del </w:t>
      </w:r>
      <w:r w:rsidR="006609E0">
        <w:rPr>
          <w:b/>
          <w:szCs w:val="24"/>
        </w:rPr>
        <w:t>Derecho de Acceso a la I</w:t>
      </w:r>
      <w:r w:rsidRPr="00427B79">
        <w:rPr>
          <w:b/>
          <w:szCs w:val="24"/>
        </w:rPr>
        <w:t xml:space="preserve">nformación </w:t>
      </w:r>
      <w:r w:rsidR="006609E0">
        <w:rPr>
          <w:b/>
          <w:szCs w:val="24"/>
        </w:rPr>
        <w:t>P</w:t>
      </w:r>
      <w:r w:rsidRPr="00427B79">
        <w:rPr>
          <w:b/>
          <w:szCs w:val="24"/>
        </w:rPr>
        <w:t>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6609E0">
      <w:pPr>
        <w:pStyle w:val="Prrafodelista"/>
        <w:numPr>
          <w:ilvl w:val="0"/>
          <w:numId w:val="1"/>
        </w:numPr>
        <w:spacing w:after="0" w:line="360" w:lineRule="auto"/>
        <w:ind w:left="284" w:hanging="284"/>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w:t>
      </w:r>
      <w:r w:rsidR="006609E0">
        <w:rPr>
          <w:rFonts w:ascii="Palatino Linotype" w:eastAsia="Times New Roman" w:hAnsi="Palatino Linotype" w:cs="Arial"/>
          <w:sz w:val="24"/>
          <w:szCs w:val="24"/>
        </w:rPr>
        <w:t>Derecho d</w:t>
      </w:r>
      <w:r w:rsidR="006609E0" w:rsidRPr="00427B79">
        <w:rPr>
          <w:rFonts w:ascii="Palatino Linotype" w:eastAsia="Times New Roman" w:hAnsi="Palatino Linotype" w:cs="Arial"/>
          <w:sz w:val="24"/>
          <w:szCs w:val="24"/>
        </w:rPr>
        <w:t xml:space="preserve">e Acceso </w:t>
      </w:r>
      <w:r w:rsidR="006609E0">
        <w:rPr>
          <w:rFonts w:ascii="Palatino Linotype" w:eastAsia="Times New Roman" w:hAnsi="Palatino Linotype" w:cs="Arial"/>
          <w:sz w:val="24"/>
          <w:szCs w:val="24"/>
        </w:rPr>
        <w:t>a</w:t>
      </w:r>
      <w:r w:rsidR="006609E0" w:rsidRPr="00427B79">
        <w:rPr>
          <w:rFonts w:ascii="Palatino Linotype" w:eastAsia="Times New Roman" w:hAnsi="Palatino Linotype" w:cs="Arial"/>
          <w:sz w:val="24"/>
          <w:szCs w:val="24"/>
        </w:rPr>
        <w:t xml:space="preserve"> </w:t>
      </w:r>
      <w:r w:rsidR="006609E0">
        <w:rPr>
          <w:rFonts w:ascii="Palatino Linotype" w:eastAsia="Times New Roman" w:hAnsi="Palatino Linotype" w:cs="Arial"/>
          <w:sz w:val="24"/>
          <w:szCs w:val="24"/>
        </w:rPr>
        <w:t>l</w:t>
      </w:r>
      <w:r w:rsidR="006609E0" w:rsidRPr="00427B79">
        <w:rPr>
          <w:rFonts w:ascii="Palatino Linotype" w:eastAsia="Times New Roman" w:hAnsi="Palatino Linotype" w:cs="Arial"/>
          <w:sz w:val="24"/>
          <w:szCs w:val="24"/>
        </w:rPr>
        <w:t xml:space="preserve">a Información Pública </w:t>
      </w:r>
      <w:r w:rsidRPr="00427B79">
        <w:rPr>
          <w:rFonts w:ascii="Palatino Linotype" w:eastAsia="Times New Roman" w:hAnsi="Palatino Linotype" w:cs="Arial"/>
          <w:sz w:val="24"/>
          <w:szCs w:val="24"/>
        </w:rPr>
        <w:t xml:space="preserve">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bCs/>
          <w:color w:val="000000" w:themeColor="text1"/>
          <w:sz w:val="24"/>
          <w:szCs w:val="24"/>
        </w:rPr>
        <w:lastRenderedPageBreak/>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w:t>
      </w:r>
      <w:r w:rsidR="001553F5">
        <w:rPr>
          <w:rFonts w:ascii="Palatino Linotype" w:hAnsi="Palatino Linotype" w:cs="Arial"/>
          <w:bCs/>
          <w:color w:val="000000" w:themeColor="text1"/>
          <w:sz w:val="24"/>
          <w:szCs w:val="24"/>
        </w:rPr>
        <w:t>resulta</w:t>
      </w:r>
      <w:r w:rsidRPr="00427B79">
        <w:rPr>
          <w:rFonts w:ascii="Palatino Linotype" w:hAnsi="Palatino Linotype" w:cs="Arial"/>
          <w:bCs/>
          <w:color w:val="000000" w:themeColor="text1"/>
          <w:sz w:val="24"/>
          <w:szCs w:val="24"/>
        </w:rPr>
        <w:t xml:space="preserve"> suficiente con que una persona realice una solicitud de información para que la autoridad la atienda y entregue lo solicitado, salvo excepciones limitadas.</w:t>
      </w:r>
    </w:p>
    <w:p w:rsidR="008E3E36" w:rsidRPr="00427B79" w:rsidRDefault="008E3E36" w:rsidP="008E3E36">
      <w:pPr>
        <w:pStyle w:val="Prrafodelista"/>
        <w:autoSpaceDE w:val="0"/>
        <w:autoSpaceDN w:val="0"/>
        <w:adjustRightInd w:val="0"/>
        <w:spacing w:before="240" w:after="240" w:line="360" w:lineRule="auto"/>
        <w:ind w:left="851" w:right="616"/>
        <w:jc w:val="both"/>
        <w:rPr>
          <w:rFonts w:ascii="Palatino Linotype" w:hAnsi="Palatino Linotype" w:cs="Arial"/>
          <w:bCs/>
          <w:color w:val="000000" w:themeColor="text1"/>
          <w:sz w:val="24"/>
          <w:szCs w:val="24"/>
        </w:rPr>
      </w:pPr>
    </w:p>
    <w:p w:rsidR="0003648B"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8E3E36" w:rsidRPr="008E3E36" w:rsidRDefault="008E3E36" w:rsidP="008E3E36">
      <w:pPr>
        <w:pStyle w:val="Prrafodelista"/>
        <w:rPr>
          <w:rFonts w:ascii="Palatino Linotype" w:hAnsi="Palatino Linotype" w:cs="Arial"/>
          <w:bCs/>
          <w:color w:val="000000" w:themeColor="text1"/>
          <w:sz w:val="24"/>
          <w:szCs w:val="24"/>
        </w:rPr>
      </w:pPr>
    </w:p>
    <w:p w:rsidR="0003648B"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BA67DA">
        <w:rPr>
          <w:rFonts w:ascii="Palatino Linotype" w:hAnsi="Palatino Linotype" w:cs="Arial"/>
          <w:bCs/>
          <w:color w:val="000000" w:themeColor="text1"/>
          <w:sz w:val="24"/>
          <w:szCs w:val="24"/>
          <w:u w:val="single"/>
        </w:rPr>
        <w:t>Otorga a todos los documentos en posesión de las autoridades la calidad de públicos</w:t>
      </w:r>
      <w:r w:rsidRPr="00427B79">
        <w:rPr>
          <w:rFonts w:ascii="Palatino Linotype" w:hAnsi="Palatino Linotype" w:cs="Arial"/>
          <w:bCs/>
          <w:color w:val="000000" w:themeColor="text1"/>
          <w:sz w:val="24"/>
          <w:szCs w:val="24"/>
        </w:rPr>
        <w:t xml:space="preserve"> y únicamente pueden ser reservados temporalmente por razones de interés público y en los términos expresamente señalados en la ley.</w:t>
      </w:r>
    </w:p>
    <w:p w:rsidR="008E3E36" w:rsidRPr="008E3E36" w:rsidRDefault="008E3E36" w:rsidP="008E3E36">
      <w:pPr>
        <w:pStyle w:val="Prrafodelista"/>
        <w:rPr>
          <w:rFonts w:ascii="Palatino Linotype" w:hAnsi="Palatino Linotype" w:cs="Arial"/>
          <w:bCs/>
          <w:color w:val="000000" w:themeColor="text1"/>
          <w:sz w:val="24"/>
          <w:szCs w:val="24"/>
        </w:rPr>
      </w:pPr>
    </w:p>
    <w:p w:rsidR="0003648B" w:rsidRPr="00427B79"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w:t>
      </w:r>
      <w:r w:rsidRPr="00BA67DA">
        <w:rPr>
          <w:rFonts w:ascii="Palatino Linotype" w:hAnsi="Palatino Linotype" w:cs="Arial"/>
          <w:b/>
          <w:bCs/>
          <w:color w:val="000000" w:themeColor="text1"/>
          <w:sz w:val="24"/>
          <w:szCs w:val="24"/>
        </w:rPr>
        <w:t>máxima publicidad</w:t>
      </w:r>
      <w:r w:rsidRPr="00427B79">
        <w:rPr>
          <w:rFonts w:ascii="Palatino Linotype" w:hAnsi="Palatino Linotype" w:cs="Arial"/>
          <w:bCs/>
          <w:color w:val="000000" w:themeColor="text1"/>
          <w:sz w:val="24"/>
          <w:szCs w:val="24"/>
        </w:rPr>
        <w:t>, es decir, la información que generan, administren o posean los organismos públicos son documentos de acceso a cualquier persona y para su restricción debe existir un bien jurídico mayor que proteger.</w:t>
      </w:r>
    </w:p>
    <w:p w:rsidR="0003648B" w:rsidRDefault="0003648B" w:rsidP="006609E0">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8E3E36" w:rsidRPr="00427B79" w:rsidRDefault="008E3E36" w:rsidP="008E3E36">
      <w:pPr>
        <w:pStyle w:val="Prrafodelista"/>
        <w:autoSpaceDE w:val="0"/>
        <w:autoSpaceDN w:val="0"/>
        <w:adjustRightInd w:val="0"/>
        <w:spacing w:before="240" w:after="240" w:line="360" w:lineRule="auto"/>
        <w:ind w:left="851" w:right="616"/>
        <w:jc w:val="both"/>
        <w:rPr>
          <w:rFonts w:ascii="Palatino Linotype" w:hAnsi="Palatino Linotype" w:cs="Arial"/>
          <w:bCs/>
          <w:color w:val="000000" w:themeColor="text1"/>
          <w:sz w:val="24"/>
          <w:szCs w:val="24"/>
        </w:rPr>
      </w:pPr>
    </w:p>
    <w:p w:rsidR="0003648B" w:rsidRPr="00427B79" w:rsidRDefault="0003648B" w:rsidP="008E3E36">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001553F5" w:rsidRPr="001553F5">
        <w:rPr>
          <w:rFonts w:ascii="Palatino Linotype" w:hAnsi="Palatino Linotype" w:cs="Arial"/>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8E3E36"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8E3E36" w:rsidRPr="008E3E36" w:rsidRDefault="008E3E36" w:rsidP="008E3E36">
      <w:pPr>
        <w:pStyle w:val="Prrafodelista"/>
        <w:rPr>
          <w:rFonts w:ascii="Palatino Linotype" w:hAnsi="Palatino Linotype" w:cs="Arial"/>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w:t>
      </w:r>
      <w:r w:rsidRPr="00427B79">
        <w:rPr>
          <w:rFonts w:ascii="Palatino Linotype" w:hAnsi="Palatino Linotype"/>
          <w:sz w:val="24"/>
          <w:szCs w:val="24"/>
        </w:rPr>
        <w:lastRenderedPageBreak/>
        <w:t>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6609E0">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05008" w:rsidRDefault="0003648B" w:rsidP="006609E0">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w:t>
      </w:r>
      <w:r w:rsidRPr="001553F5">
        <w:rPr>
          <w:rFonts w:ascii="Palatino Linotype" w:hAnsi="Palatino Linotype"/>
          <w:b/>
          <w:i/>
          <w:sz w:val="24"/>
          <w:szCs w:val="24"/>
        </w:rPr>
        <w:t xml:space="preserve">impone también la obligación de </w:t>
      </w:r>
      <w:r w:rsidRPr="001553F5">
        <w:rPr>
          <w:rFonts w:ascii="Palatino Linotype" w:hAnsi="Palatino Linotype"/>
          <w:b/>
          <w:bCs/>
          <w:i/>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205008" w:rsidRDefault="00205008" w:rsidP="00205008">
      <w:pPr>
        <w:pStyle w:val="Prrafodelista"/>
        <w:pBdr>
          <w:top w:val="nil"/>
          <w:left w:val="nil"/>
          <w:bottom w:val="nil"/>
          <w:right w:val="nil"/>
          <w:between w:val="nil"/>
          <w:bar w:val="nil"/>
        </w:pBdr>
        <w:spacing w:before="240" w:after="240" w:line="360" w:lineRule="auto"/>
        <w:ind w:left="0"/>
        <w:jc w:val="both"/>
        <w:rPr>
          <w:rFonts w:ascii="Palatino Linotype" w:hAnsi="Palatino Linotype"/>
          <w:bCs/>
          <w:color w:val="000000" w:themeColor="text1"/>
          <w:sz w:val="24"/>
          <w:szCs w:val="24"/>
        </w:rPr>
      </w:pPr>
    </w:p>
    <w:p w:rsidR="0003648B" w:rsidRPr="00D35B4C" w:rsidRDefault="0003648B" w:rsidP="006609E0">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6609E0">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w:t>
      </w:r>
      <w:r w:rsidR="00F066CD">
        <w:rPr>
          <w:rFonts w:ascii="Palatino Linotype" w:hAnsi="Palatino Linotype"/>
          <w:bCs/>
          <w:color w:val="000000" w:themeColor="text1"/>
          <w:sz w:val="24"/>
          <w:szCs w:val="24"/>
        </w:rPr>
        <w:t xml:space="preserve">el mismo </w:t>
      </w:r>
      <w:r w:rsidR="00F066CD">
        <w:rPr>
          <w:rFonts w:ascii="Palatino Linotype" w:hAnsi="Palatino Linotype"/>
          <w:b/>
          <w:bCs/>
          <w:color w:val="000000" w:themeColor="text1"/>
          <w:sz w:val="24"/>
          <w:szCs w:val="24"/>
        </w:rPr>
        <w:t>SUJETO OBLIGADO</w:t>
      </w:r>
      <w:r w:rsidR="00F066CD">
        <w:rPr>
          <w:rFonts w:ascii="Palatino Linotype" w:hAnsi="Palatino Linotype"/>
          <w:bCs/>
          <w:color w:val="000000" w:themeColor="text1"/>
          <w:sz w:val="24"/>
          <w:szCs w:val="24"/>
        </w:rPr>
        <w:t xml:space="preserve"> se ha manifestado afirmativamente respecto de que posee, genera y administra la información solicitada</w:t>
      </w:r>
      <w:r w:rsidR="002770E2">
        <w:rPr>
          <w:rFonts w:ascii="Palatino Linotype" w:hAnsi="Palatino Linotype" w:cs="Arial"/>
          <w:b/>
          <w:sz w:val="24"/>
          <w:szCs w:val="24"/>
        </w:rPr>
        <w:t>,</w:t>
      </w:r>
      <w:r w:rsidR="002770E2">
        <w:rPr>
          <w:rFonts w:ascii="Palatino Linotype" w:hAnsi="Palatino Linotype" w:cs="Arial"/>
          <w:sz w:val="24"/>
          <w:szCs w:val="24"/>
        </w:rPr>
        <w:t xml:space="preserve"> no cabe la condicionante de que se hará entrega de la información previo pago de derechos por digitalización</w:t>
      </w:r>
      <w:r w:rsidR="0003648B" w:rsidRPr="00D35B4C">
        <w:rPr>
          <w:rFonts w:ascii="Palatino Linotype" w:hAnsi="Palatino Linotype" w:cs="Arial"/>
          <w:sz w:val="24"/>
          <w:szCs w:val="24"/>
        </w:rPr>
        <w:t>,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6609E0">
      <w:pPr>
        <w:pStyle w:val="Prrafodelista"/>
        <w:numPr>
          <w:ilvl w:val="0"/>
          <w:numId w:val="4"/>
        </w:numPr>
        <w:spacing w:before="240" w:after="240" w:line="360" w:lineRule="auto"/>
        <w:ind w:left="851" w:right="616" w:hanging="284"/>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w:t>
      </w:r>
      <w:r w:rsidR="002770E2">
        <w:rPr>
          <w:rFonts w:ascii="Palatino Linotype" w:hAnsi="Palatino Linotype"/>
          <w:sz w:val="24"/>
          <w:szCs w:val="24"/>
        </w:rPr>
        <w:t>rcicio de sus atribuciones, debe</w:t>
      </w:r>
      <w:r w:rsidRPr="00D35B4C">
        <w:rPr>
          <w:rFonts w:ascii="Palatino Linotype" w:hAnsi="Palatino Linotype"/>
          <w:sz w:val="24"/>
          <w:szCs w:val="24"/>
        </w:rPr>
        <w:t xml:space="preserve"> generar, poseer o administrar la información, </w:t>
      </w:r>
      <w:r w:rsidR="002770E2">
        <w:rPr>
          <w:rFonts w:ascii="Palatino Linotype" w:hAnsi="Palatino Linotype"/>
          <w:sz w:val="24"/>
          <w:szCs w:val="24"/>
        </w:rPr>
        <w:t>deberá entenderse como información de oficio aplicable a la rendición de cuenta pública a pesar de no figurar en los preceptos legales aplicables de los artículos 92, 94 o 98 de la Ley de Transparencia y Acceso a la Información Pública del Estado de México y Municipios</w:t>
      </w:r>
      <w:r w:rsidRPr="00D35B4C">
        <w:rPr>
          <w:rFonts w:ascii="Palatino Linotype" w:hAnsi="Palatino Linotype"/>
          <w:sz w:val="24"/>
          <w:szCs w:val="24"/>
        </w:rPr>
        <w:t>.</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2770E2" w:rsidP="006609E0">
      <w:pPr>
        <w:pStyle w:val="Prrafodelista"/>
        <w:numPr>
          <w:ilvl w:val="0"/>
          <w:numId w:val="4"/>
        </w:numPr>
        <w:spacing w:before="240" w:after="240" w:line="360" w:lineRule="auto"/>
        <w:ind w:left="851" w:right="616" w:hanging="284"/>
        <w:jc w:val="both"/>
        <w:rPr>
          <w:rFonts w:ascii="Palatino Linotype" w:hAnsi="Palatino Linotype"/>
          <w:bCs/>
          <w:color w:val="000000" w:themeColor="text1"/>
          <w:sz w:val="24"/>
          <w:szCs w:val="24"/>
        </w:rPr>
      </w:pPr>
      <w:r>
        <w:rPr>
          <w:rFonts w:ascii="Palatino Linotype" w:hAnsi="Palatino Linotype"/>
          <w:sz w:val="24"/>
          <w:szCs w:val="24"/>
        </w:rPr>
        <w:t xml:space="preserve">El cobro por digitalizar archivos o documentos reconocido dentro del artículo 73 fracción VI del Código Financiero del Estado de México, </w:t>
      </w:r>
      <w:r w:rsidRPr="00F066CD">
        <w:rPr>
          <w:rFonts w:ascii="Palatino Linotype" w:hAnsi="Palatino Linotype"/>
          <w:sz w:val="24"/>
          <w:szCs w:val="24"/>
          <w:u w:val="single"/>
        </w:rPr>
        <w:t>contradice los Lineamientos para la Organización y Conservación de Archivos</w:t>
      </w:r>
      <w:r>
        <w:rPr>
          <w:rFonts w:ascii="Palatino Linotype" w:hAnsi="Palatino Linotype"/>
          <w:sz w:val="24"/>
          <w:szCs w:val="24"/>
        </w:rPr>
        <w:t>, del Sistema Nacional de Transparencia, Acceso a la Información Pública y Protección de Datos Personales</w:t>
      </w:r>
      <w:r w:rsidR="0003648B" w:rsidRPr="00D35B4C">
        <w:rPr>
          <w:rFonts w:ascii="Palatino Linotype" w:hAnsi="Palatino Linotype"/>
          <w:sz w:val="24"/>
          <w:szCs w:val="24"/>
        </w:rPr>
        <w:t>.</w:t>
      </w:r>
    </w:p>
    <w:p w:rsidR="0003648B" w:rsidRPr="008E3E36" w:rsidRDefault="0003648B" w:rsidP="006609E0">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064D12">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sidRPr="00064D12">
        <w:rPr>
          <w:rFonts w:ascii="Palatino Linotype" w:hAnsi="Palatino Linotype" w:cs="Arial"/>
          <w:sz w:val="24"/>
          <w:szCs w:val="24"/>
        </w:rPr>
        <w:t>y me permito manifestar lo siguiente en el presente voto particular:</w:t>
      </w:r>
    </w:p>
    <w:p w:rsidR="008E3E36" w:rsidRPr="00064D12" w:rsidRDefault="008E3E36" w:rsidP="008E3E36">
      <w:pPr>
        <w:pStyle w:val="Prrafodelista"/>
        <w:pBdr>
          <w:top w:val="nil"/>
          <w:left w:val="nil"/>
          <w:bottom w:val="nil"/>
          <w:right w:val="nil"/>
          <w:between w:val="nil"/>
          <w:bar w:val="nil"/>
        </w:pBdr>
        <w:spacing w:before="240" w:after="240" w:line="360" w:lineRule="auto"/>
        <w:ind w:left="426"/>
        <w:jc w:val="both"/>
        <w:rPr>
          <w:rFonts w:ascii="Palatino Linotype" w:hAnsi="Palatino Linotype"/>
          <w:sz w:val="24"/>
          <w:szCs w:val="24"/>
        </w:rPr>
      </w:pPr>
    </w:p>
    <w:p w:rsidR="00680533" w:rsidRPr="00064D12" w:rsidRDefault="00835C8D" w:rsidP="006609E0">
      <w:pPr>
        <w:pStyle w:val="Ttulo1"/>
        <w:ind w:left="426"/>
        <w:rPr>
          <w:rFonts w:eastAsia="Calibri"/>
          <w:b w:val="0"/>
          <w:color w:val="auto"/>
          <w:szCs w:val="24"/>
        </w:rPr>
      </w:pPr>
      <w:bookmarkStart w:id="5" w:name="_Toc521928206"/>
      <w:r w:rsidRPr="00064D12">
        <w:rPr>
          <w:rFonts w:eastAsia="Calibri"/>
          <w:color w:val="auto"/>
          <w:szCs w:val="24"/>
        </w:rPr>
        <w:t xml:space="preserve">IV. </w:t>
      </w:r>
      <w:r w:rsidR="00680533" w:rsidRPr="00064D12">
        <w:rPr>
          <w:rFonts w:eastAsia="Calibri"/>
          <w:color w:val="auto"/>
          <w:szCs w:val="24"/>
        </w:rPr>
        <w:t>Del Pr</w:t>
      </w:r>
      <w:r w:rsidR="002770E2" w:rsidRPr="00064D12">
        <w:rPr>
          <w:rFonts w:eastAsia="Calibri"/>
          <w:color w:val="auto"/>
          <w:szCs w:val="24"/>
        </w:rPr>
        <w:t>incipio de Gratuidad</w:t>
      </w:r>
      <w:bookmarkEnd w:id="5"/>
    </w:p>
    <w:p w:rsidR="002770E2" w:rsidRPr="00064D12"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064D12">
        <w:rPr>
          <w:rFonts w:ascii="Palatino Linotype" w:hAnsi="Palatino Linotype" w:cs="Arial"/>
          <w:bCs/>
          <w:color w:val="000000" w:themeColor="text1"/>
          <w:sz w:val="24"/>
          <w:szCs w:val="24"/>
        </w:rPr>
        <w:t xml:space="preserve">Como parte del Derecho de Acceso a la Información Pública se contempla la observancia de principios en su carácter de </w:t>
      </w:r>
      <w:r w:rsidRPr="00064D12">
        <w:rPr>
          <w:rFonts w:ascii="Palatino Linotype" w:hAnsi="Palatino Linotype" w:cs="Arial"/>
          <w:b/>
          <w:bCs/>
          <w:color w:val="000000" w:themeColor="text1"/>
          <w:sz w:val="24"/>
          <w:szCs w:val="24"/>
          <w:u w:val="single"/>
        </w:rPr>
        <w:t>gratuita</w:t>
      </w:r>
      <w:r w:rsidRPr="00064D12">
        <w:rPr>
          <w:rFonts w:ascii="Palatino Linotype" w:hAnsi="Palatino Linotype" w:cs="Arial"/>
          <w:bCs/>
          <w:color w:val="000000" w:themeColor="text1"/>
          <w:sz w:val="24"/>
          <w:szCs w:val="24"/>
        </w:rPr>
        <w:t xml:space="preserve">, veraz, confiable, oportuna, congruente, integral, actualizada, accesible, comprensible, verificable y de fácil acceso. </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C1792A">
        <w:rPr>
          <w:rFonts w:ascii="Palatino Linotype" w:hAnsi="Palatino Linotype" w:cs="Arial"/>
          <w:iCs/>
          <w:color w:val="000000" w:themeColor="text1"/>
          <w:sz w:val="24"/>
          <w:szCs w:val="24"/>
        </w:rPr>
        <w:t xml:space="preserve">La </w:t>
      </w:r>
      <w:r w:rsidRPr="00C1792A">
        <w:rPr>
          <w:rFonts w:ascii="Palatino Linotype" w:hAnsi="Palatino Linotype" w:cs="Arial"/>
          <w:b/>
          <w:bCs/>
          <w:color w:val="000000" w:themeColor="text1"/>
          <w:sz w:val="24"/>
          <w:szCs w:val="24"/>
        </w:rPr>
        <w:t>Ley General de Transparencia y Acceso a la Información Pública</w:t>
      </w:r>
      <w:r w:rsidRPr="00C1792A">
        <w:rPr>
          <w:rFonts w:ascii="Palatino Linotype" w:hAnsi="Palatino Linotype" w:cs="Arial"/>
          <w:bCs/>
          <w:color w:val="000000" w:themeColor="text1"/>
          <w:sz w:val="24"/>
          <w:szCs w:val="24"/>
        </w:rPr>
        <w:t xml:space="preserve"> señala explícitamente </w:t>
      </w:r>
      <w:r w:rsidR="0037144D">
        <w:rPr>
          <w:rFonts w:ascii="Palatino Linotype" w:hAnsi="Palatino Linotype" w:cs="Arial"/>
          <w:bCs/>
          <w:color w:val="000000" w:themeColor="text1"/>
          <w:sz w:val="24"/>
          <w:szCs w:val="24"/>
        </w:rPr>
        <w:t xml:space="preserve">en su artículo 17 </w:t>
      </w:r>
      <w:r w:rsidRPr="00C1792A">
        <w:rPr>
          <w:rFonts w:ascii="Palatino Linotype" w:hAnsi="Palatino Linotype" w:cs="Arial"/>
          <w:bCs/>
          <w:color w:val="000000" w:themeColor="text1"/>
          <w:sz w:val="24"/>
          <w:szCs w:val="24"/>
        </w:rPr>
        <w:t>que el ejercicio del derecho de acceso a la información será gratuito y sólo podrá requerirse el cobro correspondiente a la modalidad de reproducción y entrega solicitada.</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 xml:space="preserve">Dentro de los principios que la </w:t>
      </w:r>
      <w:r w:rsidR="0037144D">
        <w:rPr>
          <w:rFonts w:ascii="Palatino Linotype" w:hAnsi="Palatino Linotype" w:cs="Arial"/>
          <w:bCs/>
          <w:sz w:val="24"/>
          <w:szCs w:val="24"/>
        </w:rPr>
        <w:t>C</w:t>
      </w:r>
      <w:r w:rsidRPr="00C1792A">
        <w:rPr>
          <w:rFonts w:ascii="Palatino Linotype" w:hAnsi="Palatino Linotype" w:cs="Arial"/>
          <w:bCs/>
          <w:sz w:val="24"/>
          <w:szCs w:val="24"/>
        </w:rPr>
        <w:t xml:space="preserve">onstitución </w:t>
      </w:r>
      <w:r w:rsidR="0037144D">
        <w:rPr>
          <w:rFonts w:ascii="Palatino Linotype" w:hAnsi="Palatino Linotype" w:cs="Arial"/>
          <w:bCs/>
          <w:sz w:val="24"/>
          <w:szCs w:val="24"/>
        </w:rPr>
        <w:t>Política del Estado Libre y Soberano de México,</w:t>
      </w:r>
      <w:r w:rsidRPr="00C1792A">
        <w:rPr>
          <w:rFonts w:ascii="Palatino Linotype" w:hAnsi="Palatino Linotype" w:cs="Arial"/>
          <w:bCs/>
          <w:sz w:val="24"/>
          <w:szCs w:val="24"/>
        </w:rPr>
        <w:t xml:space="preserve"> señala para hacer efectivo el derecho de acceso a la información pública, se encuentra el de la </w:t>
      </w:r>
      <w:r w:rsidRPr="00C1792A">
        <w:rPr>
          <w:rFonts w:ascii="Palatino Linotype" w:hAnsi="Palatino Linotype" w:cs="Arial"/>
          <w:b/>
          <w:bCs/>
          <w:sz w:val="24"/>
          <w:szCs w:val="24"/>
        </w:rPr>
        <w:t>gratuidad</w:t>
      </w:r>
      <w:r w:rsidRPr="00C1792A">
        <w:rPr>
          <w:rFonts w:ascii="Palatino Linotype" w:hAnsi="Palatino Linotype" w:cs="Arial"/>
          <w:bCs/>
          <w:sz w:val="24"/>
          <w:szCs w:val="24"/>
        </w:rPr>
        <w:t xml:space="preserve"> y el </w:t>
      </w:r>
      <w:r w:rsidRPr="00C1792A">
        <w:rPr>
          <w:rFonts w:ascii="Palatino Linotype" w:hAnsi="Palatino Linotype" w:cs="Arial"/>
          <w:b/>
          <w:bCs/>
          <w:sz w:val="24"/>
          <w:szCs w:val="24"/>
        </w:rPr>
        <w:t>uso de las herramientas tecnológicas de la información</w:t>
      </w:r>
      <w:r w:rsidRPr="00C1792A">
        <w:rPr>
          <w:rFonts w:ascii="Palatino Linotype" w:hAnsi="Palatino Linotype" w:cs="Arial"/>
          <w:bCs/>
          <w:sz w:val="24"/>
          <w:szCs w:val="24"/>
        </w:rPr>
        <w:t xml:space="preserve"> puesta a disposición, tanto de los particulares como de los </w:t>
      </w:r>
      <w:r w:rsidRPr="00C1792A">
        <w:rPr>
          <w:rFonts w:ascii="Palatino Linotype" w:hAnsi="Palatino Linotype" w:cs="Arial"/>
          <w:b/>
          <w:bCs/>
          <w:sz w:val="24"/>
          <w:szCs w:val="24"/>
        </w:rPr>
        <w:t>SUJETOS OBLIGADOS</w:t>
      </w:r>
      <w:r w:rsidRPr="00C1792A">
        <w:rPr>
          <w:rFonts w:ascii="Palatino Linotype" w:hAnsi="Palatino Linotype" w:cs="Arial"/>
          <w:bCs/>
          <w:sz w:val="24"/>
          <w:szCs w:val="24"/>
        </w:rPr>
        <w:t xml:space="preserve">. Es por esta razón que la </w:t>
      </w:r>
      <w:r w:rsidRPr="00C1792A">
        <w:rPr>
          <w:rFonts w:ascii="Palatino Linotype" w:hAnsi="Palatino Linotype" w:cs="Arial"/>
          <w:b/>
          <w:bCs/>
          <w:sz w:val="24"/>
          <w:szCs w:val="24"/>
        </w:rPr>
        <w:t>Ley de Transparencia y Acceso a la Información Pública del Estado de México y Municipios</w:t>
      </w:r>
      <w:r w:rsidRPr="00C1792A">
        <w:rPr>
          <w:rFonts w:ascii="Palatino Linotype" w:hAnsi="Palatino Linotype" w:cs="Arial"/>
          <w:bCs/>
          <w:sz w:val="24"/>
          <w:szCs w:val="24"/>
        </w:rPr>
        <w:t xml:space="preserve">, en </w:t>
      </w:r>
      <w:r w:rsidRPr="00C1792A">
        <w:rPr>
          <w:rFonts w:ascii="Palatino Linotype" w:hAnsi="Palatino Linotype" w:cs="Arial"/>
          <w:bCs/>
          <w:sz w:val="24"/>
          <w:szCs w:val="24"/>
        </w:rPr>
        <w:lastRenderedPageBreak/>
        <w:t xml:space="preserve">concordancia con la Ley General de Transparencia y la Constitución local señala las directrices y procedimientos que deben seguirse para poner a disposición de las personas la información. </w:t>
      </w:r>
    </w:p>
    <w:p w:rsidR="002770E2" w:rsidRPr="00C1792A" w:rsidRDefault="002770E2" w:rsidP="002770E2">
      <w:pPr>
        <w:pStyle w:val="Prrafodelista"/>
        <w:rPr>
          <w:rFonts w:ascii="Palatino Linotype" w:hAnsi="Palatino Linotype" w:cs="Arial"/>
          <w:bCs/>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 xml:space="preserve">De manera específica el artículo 9 fracción III de la Ley de Transparencia y Acceso a la Información Pública del Estado de México y Municipios establece: </w:t>
      </w:r>
    </w:p>
    <w:p w:rsidR="002770E2" w:rsidRDefault="002770E2" w:rsidP="002770E2">
      <w:pPr>
        <w:spacing w:before="240" w:after="0" w:line="360" w:lineRule="auto"/>
        <w:ind w:left="851" w:right="616"/>
        <w:contextualSpacing/>
        <w:jc w:val="both"/>
        <w:rPr>
          <w:rFonts w:ascii="Palatino Linotype" w:hAnsi="Palatino Linotype"/>
          <w:i/>
        </w:rPr>
      </w:pPr>
      <w:r>
        <w:rPr>
          <w:rFonts w:ascii="Palatino Linotype" w:hAnsi="Palatino Linotype"/>
          <w:b/>
          <w:i/>
        </w:rPr>
        <w:t xml:space="preserve">Artículo 9. </w:t>
      </w:r>
      <w:r w:rsidRPr="008A4DE7">
        <w:rPr>
          <w:rFonts w:ascii="Palatino Linotype" w:hAnsi="Palatino Linotype"/>
          <w:i/>
        </w:rPr>
        <w:t>El Instituto deberá regir su funcionamiento de acuerdo a los siguientes principios:</w:t>
      </w:r>
    </w:p>
    <w:p w:rsidR="002770E2" w:rsidRPr="008A4DE7" w:rsidRDefault="002770E2" w:rsidP="002770E2">
      <w:pPr>
        <w:spacing w:before="240" w:after="0" w:line="360" w:lineRule="auto"/>
        <w:ind w:left="851" w:right="616"/>
        <w:contextualSpacing/>
        <w:jc w:val="both"/>
        <w:rPr>
          <w:rFonts w:ascii="Palatino Linotype" w:hAnsi="Palatino Linotype" w:cs="Arial"/>
          <w:b/>
          <w:i/>
          <w:iCs/>
          <w:color w:val="000000" w:themeColor="text1"/>
          <w:sz w:val="24"/>
          <w:szCs w:val="24"/>
        </w:rPr>
      </w:pPr>
      <w:r>
        <w:rPr>
          <w:rFonts w:ascii="Palatino Linotype" w:hAnsi="Palatino Linotype"/>
          <w:b/>
          <w:i/>
        </w:rPr>
        <w:t>…</w:t>
      </w:r>
    </w:p>
    <w:p w:rsidR="002770E2" w:rsidRDefault="002770E2" w:rsidP="002770E2">
      <w:pPr>
        <w:spacing w:line="360" w:lineRule="auto"/>
        <w:ind w:left="851" w:right="616"/>
        <w:jc w:val="both"/>
        <w:rPr>
          <w:rFonts w:ascii="Palatino Linotype" w:hAnsi="Palatino Linotype"/>
          <w:i/>
        </w:rPr>
      </w:pPr>
      <w:r w:rsidRPr="008A4DE7">
        <w:rPr>
          <w:rFonts w:ascii="Palatino Linotype" w:hAnsi="Palatino Linotype"/>
          <w:i/>
        </w:rPr>
        <w:t xml:space="preserve">III. Gratuidad: Consiste en que el acceso a la información pública </w:t>
      </w:r>
      <w:r w:rsidRPr="008A4DE7">
        <w:rPr>
          <w:rFonts w:ascii="Palatino Linotype" w:hAnsi="Palatino Linotype"/>
          <w:b/>
          <w:i/>
        </w:rPr>
        <w:t>no genera costo alguno para los solicitantes</w:t>
      </w:r>
      <w:r w:rsidRPr="008A4DE7">
        <w:rPr>
          <w:rFonts w:ascii="Palatino Linotype" w:hAnsi="Palatino Linotype"/>
          <w:i/>
        </w:rPr>
        <w:t xml:space="preserve">, </w:t>
      </w:r>
      <w:r w:rsidRPr="008A4DE7">
        <w:rPr>
          <w:rFonts w:ascii="Palatino Linotype" w:hAnsi="Palatino Linotype"/>
          <w:b/>
          <w:i/>
        </w:rPr>
        <w:t>sólo podrá requerirse el cobro correspondiente a la modalidad de reproducción y entrega solicitada</w:t>
      </w:r>
      <w:r w:rsidRPr="008A4DE7">
        <w:rPr>
          <w:rFonts w:ascii="Palatino Linotype" w:hAnsi="Palatino Linotype"/>
          <w:i/>
        </w:rPr>
        <w:t xml:space="preserve"> conforme a lo establecido en la presente Ley y demás disposiciones jurídicas aplicables;</w:t>
      </w:r>
    </w:p>
    <w:p w:rsidR="008C6502" w:rsidRDefault="008C6502" w:rsidP="002770E2">
      <w:pPr>
        <w:spacing w:line="360" w:lineRule="auto"/>
        <w:ind w:left="851" w:right="616"/>
        <w:jc w:val="both"/>
        <w:rPr>
          <w:rFonts w:ascii="Palatino Linotype" w:hAnsi="Palatino Linotype"/>
          <w:i/>
        </w:rPr>
      </w:pPr>
    </w:p>
    <w:p w:rsidR="002770E2"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En este orden de ideas el artículo 150 de la Ley en referencia en su texto literal refiere: </w:t>
      </w:r>
    </w:p>
    <w:p w:rsidR="002770E2" w:rsidRDefault="002770E2" w:rsidP="002770E2">
      <w:pPr>
        <w:pStyle w:val="Prrafodelista"/>
        <w:spacing w:before="240" w:after="240" w:line="360" w:lineRule="auto"/>
        <w:jc w:val="both"/>
        <w:rPr>
          <w:rFonts w:ascii="Palatino Linotype" w:hAnsi="Palatino Linotype" w:cs="Arial"/>
          <w:bCs/>
          <w:sz w:val="24"/>
          <w:szCs w:val="24"/>
        </w:rPr>
      </w:pPr>
    </w:p>
    <w:p w:rsidR="002770E2" w:rsidRDefault="002770E2" w:rsidP="002770E2">
      <w:pPr>
        <w:pStyle w:val="Prrafodelista"/>
        <w:spacing w:before="240" w:after="240" w:line="360" w:lineRule="auto"/>
        <w:ind w:left="851" w:right="616"/>
        <w:jc w:val="both"/>
        <w:rPr>
          <w:rFonts w:ascii="Palatino Linotype" w:hAnsi="Palatino Linotype"/>
          <w:i/>
        </w:rPr>
      </w:pPr>
      <w:r>
        <w:rPr>
          <w:rFonts w:ascii="Palatino Linotype" w:hAnsi="Palatino Linotype"/>
          <w:i/>
        </w:rPr>
        <w:t>“</w:t>
      </w:r>
      <w:r w:rsidRPr="008A4DE7">
        <w:rPr>
          <w:rFonts w:ascii="Palatino Linotype" w:hAnsi="Palatino Linotype"/>
          <w:b/>
          <w:i/>
        </w:rPr>
        <w:t>Artículo 150.</w:t>
      </w:r>
      <w:r w:rsidRPr="008A4DE7">
        <w:rPr>
          <w:rFonts w:ascii="Palatino Linotype" w:hAnsi="Palatino Linotype"/>
          <w:i/>
        </w:rPr>
        <w:t xml:space="preserve"> El procedimiento de acceso a la información es la garantía primaria del derecho en cuestión y se rige por los principios de simplicidad, rapidez </w:t>
      </w:r>
      <w:r w:rsidRPr="008A4DE7">
        <w:rPr>
          <w:rFonts w:ascii="Palatino Linotype" w:hAnsi="Palatino Linotype"/>
          <w:b/>
          <w:i/>
        </w:rPr>
        <w:t>gratuidad del procedimiento</w:t>
      </w:r>
      <w:r w:rsidRPr="008A4DE7">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rsidR="002770E2" w:rsidRPr="00194443" w:rsidRDefault="002770E2" w:rsidP="002770E2">
      <w:pPr>
        <w:pStyle w:val="Prrafodelista"/>
        <w:numPr>
          <w:ilvl w:val="0"/>
          <w:numId w:val="1"/>
        </w:numPr>
        <w:spacing w:before="240" w:after="240" w:line="360" w:lineRule="auto"/>
        <w:jc w:val="both"/>
        <w:rPr>
          <w:rFonts w:ascii="Palatino Linotype" w:eastAsia="Times New Roman" w:hAnsi="Palatino Linotype" w:cs="Arial"/>
          <w:sz w:val="24"/>
          <w:szCs w:val="24"/>
        </w:rPr>
      </w:pPr>
      <w:r w:rsidRPr="00194443">
        <w:rPr>
          <w:rFonts w:ascii="Palatino Linotype" w:hAnsi="Palatino Linotype" w:cs="Arial"/>
          <w:bCs/>
          <w:sz w:val="24"/>
          <w:szCs w:val="24"/>
        </w:rPr>
        <w:lastRenderedPageBreak/>
        <w:t xml:space="preserve">Para satisfacer plenamente el Derecho de Acceso a la Información Pública, este Órgano Garante debe velar por que el procedimiento de Acceso a la Información </w:t>
      </w:r>
      <w:r w:rsidR="003E1591">
        <w:rPr>
          <w:rFonts w:ascii="Palatino Linotype" w:hAnsi="Palatino Linotype" w:cs="Arial"/>
          <w:bCs/>
          <w:sz w:val="24"/>
          <w:szCs w:val="24"/>
        </w:rPr>
        <w:t>Q</w:t>
      </w:r>
      <w:r w:rsidRPr="00194443">
        <w:rPr>
          <w:rFonts w:ascii="Palatino Linotype" w:hAnsi="Palatino Linotype" w:cs="Arial"/>
          <w:bCs/>
          <w:sz w:val="24"/>
          <w:szCs w:val="24"/>
        </w:rPr>
        <w:t xml:space="preserve">ue es la garantía primaria del derecho en cuestión se observen los principios de simplicidad, rapidez </w:t>
      </w:r>
      <w:r w:rsidRPr="00194443">
        <w:rPr>
          <w:rFonts w:ascii="Palatino Linotype" w:hAnsi="Palatino Linotype" w:cs="Arial"/>
          <w:b/>
          <w:bCs/>
          <w:i/>
          <w:sz w:val="24"/>
          <w:szCs w:val="24"/>
        </w:rPr>
        <w:t>gratuidad del procedimiento</w:t>
      </w:r>
      <w:r w:rsidRPr="00194443">
        <w:rPr>
          <w:rFonts w:ascii="Palatino Linotype" w:hAnsi="Palatino Linotype" w:cs="Arial"/>
          <w:bCs/>
          <w:sz w:val="24"/>
          <w:szCs w:val="24"/>
        </w:rPr>
        <w:t xml:space="preserve">, así como auxilio y orientación a los particulares con el propósito de otorgar la protección más amplia del derecho humano de las personas. </w:t>
      </w:r>
    </w:p>
    <w:p w:rsidR="002770E2" w:rsidRPr="00194443" w:rsidRDefault="002770E2" w:rsidP="002770E2">
      <w:pPr>
        <w:pStyle w:val="Prrafodelista"/>
        <w:spacing w:before="240" w:after="240" w:line="360" w:lineRule="auto"/>
        <w:jc w:val="both"/>
        <w:rPr>
          <w:rFonts w:ascii="Palatino Linotype" w:eastAsia="Times New Roman" w:hAnsi="Palatino Linotype" w:cs="Arial"/>
          <w:sz w:val="24"/>
          <w:szCs w:val="24"/>
        </w:rPr>
      </w:pPr>
    </w:p>
    <w:p w:rsidR="002770E2" w:rsidRPr="003E1591"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De los preceptos jurídicos citados se advierte que para garantizar plenamente el Derecho de Acceso a la Información Pública, se deben observar cada uno de los principios que la propia ley señala, y así como es importante el principio de máxima publicidad, también</w:t>
      </w:r>
      <w:r w:rsidR="0037144D">
        <w:rPr>
          <w:rFonts w:ascii="Palatino Linotype" w:hAnsi="Palatino Linotype" w:cs="Arial"/>
          <w:bCs/>
          <w:sz w:val="24"/>
          <w:szCs w:val="24"/>
        </w:rPr>
        <w:t xml:space="preserve"> lo es</w:t>
      </w:r>
      <w:r w:rsidRPr="00C1792A">
        <w:rPr>
          <w:rFonts w:ascii="Palatino Linotype" w:hAnsi="Palatino Linotype" w:cs="Arial"/>
          <w:bCs/>
          <w:sz w:val="24"/>
          <w:szCs w:val="24"/>
        </w:rPr>
        <w:t xml:space="preserve"> el principio</w:t>
      </w:r>
      <w:r w:rsidR="0037144D">
        <w:rPr>
          <w:rFonts w:ascii="Palatino Linotype" w:hAnsi="Palatino Linotype" w:cs="Arial"/>
          <w:bCs/>
          <w:sz w:val="24"/>
          <w:szCs w:val="24"/>
        </w:rPr>
        <w:t xml:space="preserve"> de gratuidad del procedimiento</w:t>
      </w:r>
      <w:r w:rsidRPr="00C1792A">
        <w:rPr>
          <w:rFonts w:ascii="Palatino Linotype" w:hAnsi="Palatino Linotype" w:cs="Arial"/>
          <w:bCs/>
          <w:sz w:val="24"/>
          <w:szCs w:val="24"/>
        </w:rPr>
        <w:t>, y la Ley es muy clara al especificar que: “</w:t>
      </w:r>
      <w:r w:rsidRPr="00C1792A">
        <w:rPr>
          <w:rFonts w:ascii="Palatino Linotype" w:hAnsi="Palatino Linotype"/>
          <w:b/>
          <w:i/>
          <w:sz w:val="24"/>
          <w:szCs w:val="24"/>
        </w:rPr>
        <w:t xml:space="preserve">sólo podrá requerirse el cobro correspondiente a la modalidad de reproducción y entrega solicitada” </w:t>
      </w:r>
      <w:r w:rsidRPr="00C1792A">
        <w:rPr>
          <w:rFonts w:ascii="Palatino Linotype" w:hAnsi="Palatino Linotype"/>
          <w:sz w:val="24"/>
          <w:szCs w:val="24"/>
        </w:rPr>
        <w:t>y en el caso</w:t>
      </w:r>
      <w:r w:rsidR="0037144D">
        <w:rPr>
          <w:rFonts w:ascii="Palatino Linotype" w:hAnsi="Palatino Linotype"/>
          <w:sz w:val="24"/>
          <w:szCs w:val="24"/>
        </w:rPr>
        <w:t xml:space="preserve"> concreto</w:t>
      </w:r>
      <w:r w:rsidRPr="00C1792A">
        <w:rPr>
          <w:rFonts w:ascii="Palatino Linotype" w:hAnsi="Palatino Linotype"/>
          <w:sz w:val="24"/>
          <w:szCs w:val="24"/>
        </w:rPr>
        <w:t xml:space="preserve"> sobre el cual </w:t>
      </w:r>
      <w:r w:rsidR="0037144D">
        <w:rPr>
          <w:rFonts w:ascii="Palatino Linotype" w:hAnsi="Palatino Linotype"/>
          <w:sz w:val="24"/>
          <w:szCs w:val="24"/>
        </w:rPr>
        <w:t>emito</w:t>
      </w:r>
      <w:r w:rsidRPr="00C1792A">
        <w:rPr>
          <w:rFonts w:ascii="Palatino Linotype" w:hAnsi="Palatino Linotype"/>
          <w:sz w:val="24"/>
          <w:szCs w:val="24"/>
        </w:rPr>
        <w:t xml:space="preserve"> </w:t>
      </w:r>
      <w:r>
        <w:rPr>
          <w:rFonts w:ascii="Palatino Linotype" w:hAnsi="Palatino Linotype"/>
          <w:sz w:val="24"/>
          <w:szCs w:val="24"/>
        </w:rPr>
        <w:t>el</w:t>
      </w:r>
      <w:r w:rsidRPr="00C1792A">
        <w:rPr>
          <w:rFonts w:ascii="Palatino Linotype" w:hAnsi="Palatino Linotype"/>
          <w:sz w:val="24"/>
          <w:szCs w:val="24"/>
        </w:rPr>
        <w:t xml:space="preserve"> voto particular</w:t>
      </w:r>
      <w:r>
        <w:rPr>
          <w:rFonts w:ascii="Palatino Linotype" w:hAnsi="Palatino Linotype"/>
          <w:sz w:val="24"/>
          <w:szCs w:val="24"/>
        </w:rPr>
        <w:t xml:space="preserve"> concurrente</w:t>
      </w:r>
      <w:r w:rsidR="0037144D">
        <w:rPr>
          <w:rFonts w:ascii="Palatino Linotype" w:hAnsi="Palatino Linotype"/>
          <w:sz w:val="24"/>
          <w:szCs w:val="24"/>
        </w:rPr>
        <w:t>,</w:t>
      </w:r>
      <w:r w:rsidRPr="00C1792A">
        <w:rPr>
          <w:rFonts w:ascii="Palatino Linotype" w:hAnsi="Palatino Linotype"/>
          <w:sz w:val="24"/>
          <w:szCs w:val="24"/>
        </w:rPr>
        <w:t xml:space="preserve"> l</w:t>
      </w:r>
      <w:r w:rsidR="0037144D">
        <w:rPr>
          <w:rFonts w:ascii="Palatino Linotype" w:hAnsi="Palatino Linotype"/>
          <w:sz w:val="24"/>
          <w:szCs w:val="24"/>
        </w:rPr>
        <w:t>a</w:t>
      </w:r>
      <w:r w:rsidRPr="00C1792A">
        <w:rPr>
          <w:rFonts w:ascii="Palatino Linotype" w:hAnsi="Palatino Linotype"/>
          <w:sz w:val="24"/>
          <w:szCs w:val="24"/>
        </w:rPr>
        <w:t xml:space="preserve"> </w:t>
      </w:r>
      <w:r w:rsidRPr="00C1792A">
        <w:rPr>
          <w:rFonts w:ascii="Palatino Linotype" w:hAnsi="Palatino Linotype"/>
          <w:b/>
          <w:sz w:val="24"/>
          <w:szCs w:val="24"/>
        </w:rPr>
        <w:t xml:space="preserve">RECURRENTE, </w:t>
      </w:r>
      <w:r w:rsidRPr="00C1792A">
        <w:rPr>
          <w:rFonts w:ascii="Palatino Linotype" w:hAnsi="Palatino Linotype"/>
          <w:sz w:val="24"/>
          <w:szCs w:val="24"/>
        </w:rPr>
        <w:t>al formular la solicitud de información, requirió que la misma se le entregara vía SAIMEX, no así en copias simples o c</w:t>
      </w:r>
      <w:r w:rsidR="0037144D">
        <w:rPr>
          <w:rFonts w:ascii="Palatino Linotype" w:hAnsi="Palatino Linotype"/>
          <w:sz w:val="24"/>
          <w:szCs w:val="24"/>
        </w:rPr>
        <w:t>opias certificadas (con costo).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8C6502"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 xml:space="preserve">Del mismo modo, no se debe ignorar que el Archivo General de la Nación, dentro de sus </w:t>
      </w:r>
      <w:r>
        <w:rPr>
          <w:rFonts w:ascii="Palatino Linotype" w:hAnsi="Palatino Linotype"/>
          <w:b/>
          <w:i/>
          <w:sz w:val="24"/>
          <w:szCs w:val="24"/>
        </w:rPr>
        <w:t>Recomendaciones para proyectos de digitalización de documentos</w:t>
      </w:r>
      <w:r>
        <w:rPr>
          <w:rFonts w:ascii="Palatino Linotype" w:hAnsi="Palatino Linotype"/>
          <w:sz w:val="24"/>
          <w:szCs w:val="24"/>
        </w:rPr>
        <w:t>, concibe al objeto de digitalización de la siguiente manera:</w:t>
      </w:r>
    </w:p>
    <w:p w:rsidR="008C6502" w:rsidRPr="008C6502" w:rsidRDefault="008C6502" w:rsidP="008C6502">
      <w:pPr>
        <w:pStyle w:val="Prrafodelista"/>
        <w:rPr>
          <w:rFonts w:ascii="Palatino Linotype" w:hAnsi="Palatino Linotype" w:cs="Arial"/>
          <w:bCs/>
          <w:sz w:val="24"/>
          <w:szCs w:val="24"/>
        </w:rPr>
      </w:pPr>
    </w:p>
    <w:p w:rsidR="003E1591" w:rsidRDefault="003E1591" w:rsidP="003E1591">
      <w:pPr>
        <w:pStyle w:val="Prrafodelista"/>
        <w:spacing w:before="240" w:after="240" w:line="360" w:lineRule="auto"/>
        <w:ind w:left="851" w:right="567"/>
        <w:jc w:val="both"/>
        <w:rPr>
          <w:rFonts w:ascii="Palatino Linotype" w:hAnsi="Palatino Linotype"/>
          <w:sz w:val="24"/>
          <w:szCs w:val="24"/>
        </w:rPr>
      </w:pPr>
      <w:r>
        <w:rPr>
          <w:rFonts w:ascii="Palatino Linotype" w:hAnsi="Palatino Linotype"/>
          <w:i/>
          <w:sz w:val="24"/>
          <w:szCs w:val="24"/>
        </w:rPr>
        <w:lastRenderedPageBreak/>
        <w:t>“</w:t>
      </w:r>
      <w:r w:rsidRPr="003E1591">
        <w:rPr>
          <w:rFonts w:ascii="Palatino Linotype" w:hAnsi="Palatino Linotype"/>
          <w:i/>
          <w:sz w:val="24"/>
          <w:szCs w:val="24"/>
        </w:rPr>
        <w:t>El fin de un proyecto como éste</w:t>
      </w:r>
      <w:r>
        <w:rPr>
          <w:rFonts w:ascii="Palatino Linotype" w:hAnsi="Palatino Linotype"/>
          <w:i/>
          <w:sz w:val="24"/>
          <w:szCs w:val="24"/>
        </w:rPr>
        <w:t xml:space="preserve"> </w:t>
      </w:r>
      <w:r>
        <w:rPr>
          <w:rFonts w:ascii="Palatino Linotype" w:hAnsi="Palatino Linotype"/>
          <w:sz w:val="24"/>
          <w:szCs w:val="24"/>
        </w:rPr>
        <w:t>(proyecto de digitalización)</w:t>
      </w:r>
      <w:r w:rsidRPr="003E1591">
        <w:rPr>
          <w:rFonts w:ascii="Palatino Linotype" w:hAnsi="Palatino Linotype"/>
          <w:i/>
          <w:sz w:val="24"/>
          <w:szCs w:val="24"/>
        </w:rPr>
        <w:t xml:space="preserve"> es digitalizar una sola vez los documentos y utilizar el archivo obtenido para diversos propósitos; por ello se debe definir desde la planeación una digitalización estandarizada, clasificada y con óptima calidad, para garantizar que cada archivo se pueda utilizar para nuevos requerimientos, sin necesidad de volver a digitalizarlo.</w:t>
      </w:r>
      <w:r>
        <w:rPr>
          <w:rFonts w:ascii="Palatino Linotype" w:hAnsi="Palatino Linotype"/>
          <w:i/>
          <w:sz w:val="24"/>
          <w:szCs w:val="24"/>
        </w:rPr>
        <w:t>”</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3E1591"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De lo anterior se entiende que el digitalizar documentos no se debe entender como una actividad concebida únicamente para dar atención a una solicitud de información, sino como una oportunidad que tienen los Sujetos Obligados para asegurar en un medio digital su información física y poder hacer uso de la misma en oportunidades futuras.</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2937C6" w:rsidRDefault="002937C6"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En ese entendido</w:t>
      </w:r>
      <w:r w:rsidR="003E1591">
        <w:rPr>
          <w:rFonts w:ascii="Palatino Linotype" w:hAnsi="Palatino Linotype"/>
          <w:sz w:val="24"/>
          <w:szCs w:val="24"/>
        </w:rPr>
        <w:t>, como Comisionados de éste Órgano Gar</w:t>
      </w:r>
      <w:r>
        <w:rPr>
          <w:rFonts w:ascii="Palatino Linotype" w:hAnsi="Palatino Linotype"/>
          <w:sz w:val="24"/>
          <w:szCs w:val="24"/>
        </w:rPr>
        <w:t xml:space="preserve">ante, deberíamos ver a la fracción VI del numeral 73 del Código Financiero del Estado de México como un retroceso en la evolución de la transparencia y acceso a la información pública, ello en virtud de que el pretender cobrar a los particulares una cantidad monetaria por digitalizar documentos sólo generará como consecuencia que los Sujetos Obligados disminuyan sus proyectos de digitalización de documentos </w:t>
      </w:r>
      <w:r w:rsidR="001C66F8">
        <w:rPr>
          <w:rFonts w:ascii="Palatino Linotype" w:hAnsi="Palatino Linotype"/>
          <w:sz w:val="24"/>
          <w:szCs w:val="24"/>
        </w:rPr>
        <w:t>en aras de</w:t>
      </w:r>
      <w:r>
        <w:rPr>
          <w:rFonts w:ascii="Palatino Linotype" w:hAnsi="Palatino Linotype"/>
          <w:sz w:val="24"/>
          <w:szCs w:val="24"/>
        </w:rPr>
        <w:t xml:space="preserve"> esperar a que una solicitud de información solicite datos públicos contenidos en sus acervos físicos y sea hasta ese momento </w:t>
      </w:r>
      <w:r w:rsidR="001C66F8">
        <w:rPr>
          <w:rFonts w:ascii="Palatino Linotype" w:hAnsi="Palatino Linotype"/>
          <w:sz w:val="24"/>
          <w:szCs w:val="24"/>
        </w:rPr>
        <w:t>en que se digitalicen</w:t>
      </w:r>
      <w:r>
        <w:rPr>
          <w:rFonts w:ascii="Palatino Linotype" w:hAnsi="Palatino Linotype"/>
          <w:sz w:val="24"/>
          <w:szCs w:val="24"/>
        </w:rPr>
        <w:t xml:space="preserve"> </w:t>
      </w:r>
      <w:r w:rsidR="001C66F8">
        <w:rPr>
          <w:rFonts w:ascii="Palatino Linotype" w:hAnsi="Palatino Linotype"/>
          <w:sz w:val="24"/>
          <w:szCs w:val="24"/>
        </w:rPr>
        <w:lastRenderedPageBreak/>
        <w:t xml:space="preserve">previo pago de impuestos, los cuales resultan a todas luces </w:t>
      </w:r>
      <w:r>
        <w:rPr>
          <w:rFonts w:ascii="Palatino Linotype" w:hAnsi="Palatino Linotype"/>
          <w:sz w:val="24"/>
          <w:szCs w:val="24"/>
        </w:rPr>
        <w:t>contrarios a</w:t>
      </w:r>
      <w:r w:rsidR="001C66F8">
        <w:rPr>
          <w:rFonts w:ascii="Palatino Linotype" w:hAnsi="Palatino Linotype"/>
          <w:sz w:val="24"/>
          <w:szCs w:val="24"/>
        </w:rPr>
        <w:t xml:space="preserve"> los principios de </w:t>
      </w:r>
      <w:r w:rsidR="001C66F8">
        <w:rPr>
          <w:rFonts w:ascii="Palatino Linotype" w:hAnsi="Palatino Linotype"/>
          <w:b/>
          <w:sz w:val="24"/>
          <w:szCs w:val="24"/>
        </w:rPr>
        <w:t>máxima publicidad</w:t>
      </w:r>
      <w:r w:rsidR="001C66F8">
        <w:rPr>
          <w:rFonts w:ascii="Palatino Linotype" w:hAnsi="Palatino Linotype"/>
          <w:sz w:val="24"/>
          <w:szCs w:val="24"/>
        </w:rPr>
        <w:t xml:space="preserve"> y </w:t>
      </w:r>
      <w:r w:rsidR="001C66F8">
        <w:rPr>
          <w:rFonts w:ascii="Palatino Linotype" w:hAnsi="Palatino Linotype"/>
          <w:b/>
          <w:sz w:val="24"/>
          <w:szCs w:val="24"/>
        </w:rPr>
        <w:t>gratuidad.</w:t>
      </w:r>
    </w:p>
    <w:p w:rsidR="002937C6" w:rsidRPr="002937C6" w:rsidRDefault="002937C6" w:rsidP="002937C6">
      <w:pPr>
        <w:pStyle w:val="Prrafodelista"/>
        <w:spacing w:before="240" w:after="240" w:line="360" w:lineRule="auto"/>
        <w:ind w:left="360"/>
        <w:jc w:val="both"/>
        <w:rPr>
          <w:rFonts w:ascii="Palatino Linotype" w:hAnsi="Palatino Linotype" w:cs="Arial"/>
          <w:bCs/>
          <w:sz w:val="24"/>
          <w:szCs w:val="24"/>
        </w:rPr>
      </w:pPr>
    </w:p>
    <w:p w:rsidR="002937C6" w:rsidRDefault="001C66F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Robustece lo anterior </w:t>
      </w:r>
      <w:r w:rsidR="006B7892">
        <w:rPr>
          <w:rFonts w:ascii="Palatino Linotype" w:hAnsi="Palatino Linotype" w:cs="Arial"/>
          <w:bCs/>
          <w:sz w:val="24"/>
          <w:szCs w:val="24"/>
        </w:rPr>
        <w:t>las palabras del entonces Comisionado Presidente del Instituto de Transparencia y Acceso a la Información Pública del Estado de México y Municipios, Eugenio Monterrey Chepov, dentro del oficio número BOLETÍN/DCCS/030/2012, de veintiséis (26) de febrero de dos mil doce, dentro del cual, expresó lo siguiente:</w:t>
      </w:r>
    </w:p>
    <w:p w:rsidR="008E3E36" w:rsidRPr="008E3E36" w:rsidRDefault="008E3E36" w:rsidP="008E3E36">
      <w:pPr>
        <w:pStyle w:val="Prrafodelista"/>
        <w:rPr>
          <w:rFonts w:ascii="Palatino Linotype" w:hAnsi="Palatino Linotype" w:cs="Arial"/>
          <w:bCs/>
          <w:sz w:val="24"/>
          <w:szCs w:val="24"/>
        </w:rPr>
      </w:pPr>
    </w:p>
    <w:p w:rsidR="006B7892" w:rsidRDefault="006B7892" w:rsidP="006B7892">
      <w:pPr>
        <w:pStyle w:val="Prrafodelista"/>
        <w:spacing w:before="240" w:after="240" w:line="360" w:lineRule="auto"/>
        <w:ind w:left="851" w:right="567"/>
        <w:jc w:val="both"/>
        <w:rPr>
          <w:rFonts w:ascii="Palatino Linotype" w:hAnsi="Palatino Linotype" w:cs="Arial"/>
          <w:bCs/>
          <w:sz w:val="24"/>
          <w:szCs w:val="24"/>
        </w:rPr>
      </w:pPr>
      <w:r w:rsidRPr="006B7892">
        <w:rPr>
          <w:rFonts w:ascii="Palatino Linotype" w:hAnsi="Palatino Linotype" w:cs="Arial"/>
          <w:bCs/>
          <w:i/>
          <w:sz w:val="24"/>
          <w:szCs w:val="24"/>
        </w:rPr>
        <w:t xml:space="preserve">“Es preciso enfatizar que el acceso a la información no tiene costo alguno, pues se trata de un derecho regido por la gratuidad, dada su importancia para los regímenes democráticos. El Código Financiero fija tarifas según la modalidad de entrega de los documentos generados o custodiados por las instituciones, lo cual indica que </w:t>
      </w:r>
      <w:r w:rsidRPr="006B7892">
        <w:rPr>
          <w:rFonts w:ascii="Palatino Linotype" w:hAnsi="Palatino Linotype" w:cs="Arial"/>
          <w:b/>
          <w:bCs/>
          <w:i/>
          <w:sz w:val="24"/>
          <w:szCs w:val="24"/>
        </w:rPr>
        <w:t>no se cobra por la información, sino por el soporte que la contiene</w:t>
      </w:r>
      <w:r w:rsidRPr="006B7892">
        <w:rPr>
          <w:rFonts w:ascii="Palatino Linotype" w:hAnsi="Palatino Linotype" w:cs="Arial"/>
          <w:bCs/>
          <w:i/>
          <w:sz w:val="24"/>
          <w:szCs w:val="24"/>
        </w:rPr>
        <w:t>”</w:t>
      </w:r>
      <w:r>
        <w:rPr>
          <w:rFonts w:ascii="Palatino Linotype" w:hAnsi="Palatino Linotype" w:cs="Arial"/>
          <w:bCs/>
          <w:sz w:val="24"/>
          <w:szCs w:val="24"/>
        </w:rPr>
        <w:t xml:space="preserve"> (Sic).</w:t>
      </w:r>
    </w:p>
    <w:p w:rsidR="00B62D68" w:rsidRPr="006B7892" w:rsidRDefault="00B62D68" w:rsidP="006B7892">
      <w:pPr>
        <w:pStyle w:val="Prrafodelista"/>
        <w:spacing w:before="240" w:after="240" w:line="360" w:lineRule="auto"/>
        <w:ind w:left="851" w:right="567"/>
        <w:jc w:val="both"/>
        <w:rPr>
          <w:rFonts w:ascii="Palatino Linotype" w:hAnsi="Palatino Linotype" w:cs="Arial"/>
          <w:bCs/>
          <w:sz w:val="24"/>
          <w:szCs w:val="24"/>
        </w:rPr>
      </w:pPr>
      <w:r>
        <w:rPr>
          <w:rFonts w:ascii="Palatino Linotype" w:hAnsi="Palatino Linotype" w:cs="Arial"/>
          <w:bCs/>
          <w:sz w:val="24"/>
          <w:szCs w:val="24"/>
        </w:rPr>
        <w:t>(Énfasis añadido)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Así</w:t>
      </w:r>
      <w:r w:rsidR="008C6502">
        <w:rPr>
          <w:rFonts w:ascii="Palatino Linotype" w:hAnsi="Palatino Linotype" w:cs="Arial"/>
          <w:bCs/>
          <w:sz w:val="24"/>
          <w:szCs w:val="24"/>
        </w:rPr>
        <w:t xml:space="preserve"> las cosas, debo recalcar que nuestras</w:t>
      </w:r>
      <w:r>
        <w:rPr>
          <w:rFonts w:ascii="Palatino Linotype" w:hAnsi="Palatino Linotype" w:cs="Arial"/>
          <w:bCs/>
          <w:sz w:val="24"/>
          <w:szCs w:val="24"/>
        </w:rPr>
        <w:t xml:space="preserve"> Ponencia</w:t>
      </w:r>
      <w:r w:rsidR="008C6502">
        <w:rPr>
          <w:rFonts w:ascii="Palatino Linotype" w:hAnsi="Palatino Linotype" w:cs="Arial"/>
          <w:bCs/>
          <w:sz w:val="24"/>
          <w:szCs w:val="24"/>
        </w:rPr>
        <w:t>s</w:t>
      </w:r>
      <w:r>
        <w:rPr>
          <w:rFonts w:ascii="Palatino Linotype" w:hAnsi="Palatino Linotype" w:cs="Arial"/>
          <w:bCs/>
          <w:sz w:val="24"/>
          <w:szCs w:val="24"/>
        </w:rPr>
        <w:t xml:space="preserve"> no busca</w:t>
      </w:r>
      <w:r w:rsidR="008C6502">
        <w:rPr>
          <w:rFonts w:ascii="Palatino Linotype" w:hAnsi="Palatino Linotype" w:cs="Arial"/>
          <w:bCs/>
          <w:sz w:val="24"/>
          <w:szCs w:val="24"/>
        </w:rPr>
        <w:t>n</w:t>
      </w:r>
      <w:r>
        <w:rPr>
          <w:rFonts w:ascii="Palatino Linotype" w:hAnsi="Palatino Linotype" w:cs="Arial"/>
          <w:bCs/>
          <w:sz w:val="24"/>
          <w:szCs w:val="24"/>
        </w:rPr>
        <w:t xml:space="preserve"> procurar la gratuidad del acceso a la información como justificante para que los particulares hagan uso indiferente del material administrativo de los Sujetos Obligados, entendiéndose con esto papel, sellos, discos compactos, etcétera. Sino que, la entrega de la información a través del Sistema de Acceso a la Información, debe </w:t>
      </w:r>
      <w:r>
        <w:rPr>
          <w:rFonts w:ascii="Palatino Linotype" w:hAnsi="Palatino Linotype" w:cs="Arial"/>
          <w:bCs/>
          <w:sz w:val="24"/>
          <w:szCs w:val="24"/>
        </w:rPr>
        <w:lastRenderedPageBreak/>
        <w:t xml:space="preserve">entenderse siempre como un medio gratuito por medio del cual la ciudadanía pueda acceder a la información de las autoridades administrativas al ser </w:t>
      </w:r>
      <w:r w:rsidR="00926F65">
        <w:rPr>
          <w:rFonts w:ascii="Palatino Linotype" w:hAnsi="Palatino Linotype" w:cs="Arial"/>
          <w:bCs/>
          <w:sz w:val="24"/>
          <w:szCs w:val="24"/>
        </w:rPr>
        <w:t>el</w:t>
      </w:r>
      <w:r>
        <w:rPr>
          <w:rFonts w:ascii="Palatino Linotype" w:hAnsi="Palatino Linotype" w:cs="Arial"/>
          <w:bCs/>
          <w:sz w:val="24"/>
          <w:szCs w:val="24"/>
        </w:rPr>
        <w:t xml:space="preserve"> medio </w:t>
      </w:r>
      <w:r w:rsidR="00926F65">
        <w:rPr>
          <w:rFonts w:ascii="Palatino Linotype" w:hAnsi="Palatino Linotype" w:cs="Arial"/>
          <w:bCs/>
          <w:sz w:val="24"/>
          <w:szCs w:val="24"/>
        </w:rPr>
        <w:t>idóneo</w:t>
      </w:r>
      <w:r>
        <w:rPr>
          <w:rFonts w:ascii="Palatino Linotype" w:hAnsi="Palatino Linotype" w:cs="Arial"/>
          <w:bCs/>
          <w:sz w:val="24"/>
          <w:szCs w:val="24"/>
        </w:rPr>
        <w:t xml:space="preserve"> por el cual no se eroga ningún gasto más que el uso de </w:t>
      </w:r>
      <w:r w:rsidR="00926F65">
        <w:rPr>
          <w:rFonts w:ascii="Palatino Linotype" w:hAnsi="Palatino Linotype" w:cs="Arial"/>
          <w:bCs/>
          <w:sz w:val="24"/>
          <w:szCs w:val="24"/>
        </w:rPr>
        <w:t xml:space="preserve">electricidad </w:t>
      </w:r>
      <w:r>
        <w:rPr>
          <w:rFonts w:ascii="Palatino Linotype" w:hAnsi="Palatino Linotype" w:cs="Arial"/>
          <w:bCs/>
          <w:sz w:val="24"/>
          <w:szCs w:val="24"/>
        </w:rPr>
        <w:t>por parte de los Sujetos Obligados.</w:t>
      </w:r>
    </w:p>
    <w:p w:rsidR="002770E2" w:rsidRPr="00B62D68" w:rsidRDefault="002770E2" w:rsidP="00B62D68">
      <w:pPr>
        <w:spacing w:before="240" w:after="240" w:line="360" w:lineRule="auto"/>
        <w:jc w:val="both"/>
        <w:rPr>
          <w:rFonts w:ascii="Palatino Linotype" w:hAnsi="Palatino Linotype" w:cs="Arial"/>
          <w:bCs/>
          <w:sz w:val="24"/>
          <w:szCs w:val="24"/>
        </w:rPr>
      </w:pPr>
    </w:p>
    <w:p w:rsidR="002770E2"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Luego entonces</w:t>
      </w:r>
      <w:r w:rsidR="002770E2">
        <w:rPr>
          <w:rFonts w:ascii="Palatino Linotype" w:hAnsi="Palatino Linotype" w:cs="Arial"/>
          <w:bCs/>
          <w:sz w:val="24"/>
          <w:szCs w:val="24"/>
        </w:rPr>
        <w:t xml:space="preserve">, es de señalar que la </w:t>
      </w:r>
      <w:r w:rsidR="0037144D">
        <w:rPr>
          <w:rFonts w:ascii="Palatino Linotype" w:hAnsi="Palatino Linotype" w:cs="Arial"/>
          <w:b/>
          <w:bCs/>
          <w:sz w:val="24"/>
          <w:szCs w:val="24"/>
        </w:rPr>
        <w:t>Universidad Politécnica del Valle de Toluca</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es un Organismo Públic</w:t>
      </w:r>
      <w:r w:rsidR="0037144D">
        <w:rPr>
          <w:rFonts w:ascii="Palatino Linotype" w:hAnsi="Palatino Linotype" w:cs="Arial"/>
          <w:bCs/>
          <w:sz w:val="24"/>
          <w:szCs w:val="24"/>
        </w:rPr>
        <w:t>o</w:t>
      </w:r>
      <w:r w:rsidR="002770E2">
        <w:rPr>
          <w:rFonts w:ascii="Palatino Linotype" w:hAnsi="Palatino Linotype" w:cs="Arial"/>
          <w:bCs/>
          <w:sz w:val="24"/>
          <w:szCs w:val="24"/>
        </w:rPr>
        <w:t xml:space="preserve"> Descentralizado</w:t>
      </w:r>
      <w:r w:rsidR="0037144D">
        <w:rPr>
          <w:rFonts w:ascii="Palatino Linotype" w:hAnsi="Palatino Linotype" w:cs="Arial"/>
          <w:bCs/>
          <w:sz w:val="24"/>
          <w:szCs w:val="24"/>
        </w:rPr>
        <w:t xml:space="preserve"> de carácter Estatal</w:t>
      </w:r>
      <w:r w:rsidR="002770E2">
        <w:rPr>
          <w:rFonts w:ascii="Palatino Linotype" w:hAnsi="Palatino Linotype" w:cs="Arial"/>
          <w:bCs/>
          <w:sz w:val="24"/>
          <w:szCs w:val="24"/>
        </w:rPr>
        <w:t>, al que se le asigna un presupuesto destinado a satisfacer las necesidades de los mexiquenses, mediante la planeación y programación coordinada con las dependencias gubernamentales, fede</w:t>
      </w:r>
      <w:r w:rsidR="00C878B6">
        <w:rPr>
          <w:rFonts w:ascii="Palatino Linotype" w:hAnsi="Palatino Linotype" w:cs="Arial"/>
          <w:bCs/>
          <w:sz w:val="24"/>
          <w:szCs w:val="24"/>
        </w:rPr>
        <w:t>rales, estatales y municipales; y que bajo ésas consideraciones, no debería tener impedimento tecnológico o administrativo para otorgar la información digitalizada.</w:t>
      </w:r>
    </w:p>
    <w:p w:rsidR="00F36898" w:rsidRPr="00F36898" w:rsidRDefault="00F36898" w:rsidP="00F36898">
      <w:pPr>
        <w:pStyle w:val="Prrafodelista"/>
        <w:rPr>
          <w:rFonts w:ascii="Palatino Linotype" w:hAnsi="Palatino Linotype" w:cs="Arial"/>
          <w:bCs/>
          <w:sz w:val="24"/>
          <w:szCs w:val="24"/>
        </w:rPr>
      </w:pPr>
    </w:p>
    <w:p w:rsidR="00E43E11" w:rsidRPr="00E43E11" w:rsidRDefault="00E43E11" w:rsidP="00F36898">
      <w:pPr>
        <w:pStyle w:val="Ttulo1"/>
        <w:ind w:left="284"/>
      </w:pPr>
      <w:bookmarkStart w:id="6" w:name="_Toc521928207"/>
      <w:r w:rsidRPr="00E43E11">
        <w:rPr>
          <w:rFonts w:cs="Arial"/>
          <w:bCs/>
          <w:color w:val="auto"/>
          <w:szCs w:val="24"/>
        </w:rPr>
        <w:t xml:space="preserve">V. Del principio </w:t>
      </w:r>
      <w:r w:rsidRPr="00E43E11">
        <w:rPr>
          <w:rFonts w:cs="Arial"/>
          <w:bCs/>
          <w:i/>
          <w:color w:val="auto"/>
          <w:szCs w:val="24"/>
        </w:rPr>
        <w:t>pro persona</w:t>
      </w:r>
      <w:r w:rsidR="00DE60FA">
        <w:rPr>
          <w:rFonts w:cs="Arial"/>
          <w:bCs/>
          <w:i/>
          <w:color w:val="auto"/>
          <w:szCs w:val="24"/>
        </w:rPr>
        <w:t>.</w:t>
      </w:r>
      <w:bookmarkEnd w:id="6"/>
    </w:p>
    <w:p w:rsidR="007317E8" w:rsidRPr="007317E8" w:rsidRDefault="007317E8" w:rsidP="007317E8">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Una vez precisado lo anterior, </w:t>
      </w:r>
      <w:r w:rsidRPr="007317E8">
        <w:rPr>
          <w:rFonts w:ascii="Palatino Linotype" w:hAnsi="Palatino Linotype" w:cs="Arial"/>
          <w:bCs/>
          <w:sz w:val="24"/>
          <w:szCs w:val="24"/>
        </w:rPr>
        <w:t xml:space="preserve">hay que </w:t>
      </w:r>
      <w:r w:rsidR="00F36898">
        <w:rPr>
          <w:rFonts w:ascii="Palatino Linotype" w:hAnsi="Palatino Linotype" w:cs="Arial"/>
          <w:bCs/>
          <w:sz w:val="24"/>
          <w:szCs w:val="24"/>
        </w:rPr>
        <w:t>mencionar</w:t>
      </w:r>
      <w:r w:rsidRPr="007317E8">
        <w:rPr>
          <w:rFonts w:ascii="Palatino Linotype" w:hAnsi="Palatino Linotype" w:cs="Arial"/>
          <w:bCs/>
          <w:sz w:val="24"/>
          <w:szCs w:val="24"/>
        </w:rPr>
        <w:t xml:space="preserve"> que de conformidad con el texto vigente del artículo 1º, párrafos primero, segundo y tercero, de la Constitución Política de los Estados Unidos Mexicanos, existen dos fuentes originarias de los derechos humanos:</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reconocidos expresamente en la Constitución.</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establecidos en los tratados internacionales firmados y ratificados por México.</w:t>
      </w:r>
    </w:p>
    <w:p w:rsidR="007317E8" w:rsidRDefault="007317E8" w:rsidP="007317E8">
      <w:pPr>
        <w:pStyle w:val="Sinespaciado"/>
        <w:ind w:left="851" w:right="567"/>
        <w:jc w:val="both"/>
        <w:rPr>
          <w:rFonts w:ascii="Palatino Linotype" w:hAnsi="Palatino Linotype"/>
          <w:i/>
        </w:rPr>
      </w:pPr>
      <w:r>
        <w:rPr>
          <w:rFonts w:ascii="Palatino Linotype" w:hAnsi="Palatino Linotype"/>
          <w:b/>
          <w:i/>
        </w:rPr>
        <w:lastRenderedPageBreak/>
        <w:t>“</w:t>
      </w:r>
      <w:r w:rsidRPr="007317E8">
        <w:rPr>
          <w:rFonts w:ascii="Palatino Linotype" w:hAnsi="Palatino Linotype"/>
          <w:b/>
          <w:i/>
        </w:rPr>
        <w:t>Artículo 1o.</w:t>
      </w:r>
      <w:r w:rsidRPr="007317E8">
        <w:rPr>
          <w:rFonts w:ascii="Palatino Linotype" w:hAnsi="Palatino Linotype"/>
          <w:i/>
        </w:rPr>
        <w:t xml:space="preserve"> En los Estados Unidos Mexicanos </w:t>
      </w:r>
      <w:r w:rsidRPr="007317E8">
        <w:rPr>
          <w:rFonts w:ascii="Palatino Linotype" w:hAnsi="Palatino Linotype"/>
          <w:i/>
          <w:u w:val="single"/>
        </w:rPr>
        <w:t>todas las personas gozarán de los derechos humanos reconocidos en esta Constitución y en los tratados internacionales de los que el Estado Mexicano sea parte</w:t>
      </w:r>
      <w:r w:rsidRPr="007317E8">
        <w:rPr>
          <w:rFonts w:ascii="Palatino Linotype" w:hAnsi="Palatino Linotype"/>
          <w:i/>
        </w:rPr>
        <w:t>, así como de las garantías para su protección, cuyo ejercicio no podrá restringirse ni suspenderse, salvo en los casos y bajo las condiciones que esta Constitución establece.</w:t>
      </w:r>
    </w:p>
    <w:p w:rsidR="007317E8" w:rsidRPr="007317E8" w:rsidRDefault="007317E8" w:rsidP="007317E8">
      <w:pPr>
        <w:pStyle w:val="Sinespaciado"/>
        <w:ind w:left="851" w:right="567"/>
        <w:jc w:val="both"/>
        <w:rPr>
          <w:rFonts w:ascii="Palatino Linotype" w:hAnsi="Palatino Linotype"/>
          <w:i/>
        </w:rPr>
      </w:pPr>
    </w:p>
    <w:p w:rsidR="007317E8" w:rsidRPr="007317E8" w:rsidRDefault="007317E8" w:rsidP="007317E8">
      <w:pPr>
        <w:pStyle w:val="Sinespaciado"/>
        <w:ind w:left="851" w:right="567"/>
        <w:jc w:val="both"/>
        <w:rPr>
          <w:rFonts w:ascii="Palatino Linotype" w:hAnsi="Palatino Linotype"/>
          <w:b/>
          <w:i/>
        </w:rPr>
      </w:pPr>
      <w:r w:rsidRPr="007317E8">
        <w:rPr>
          <w:rFonts w:ascii="Palatino Linotype" w:hAnsi="Palatino Linotype"/>
          <w:b/>
          <w:i/>
        </w:rPr>
        <w:t>Las normas relativas a los derechos humanos se interpretarán de conformidad con esta Constitución y con los tratados internacionales de la materia favoreciendo en todo tiempo a las personas la protección más amplia.</w:t>
      </w:r>
    </w:p>
    <w:p w:rsidR="007317E8" w:rsidRPr="007317E8" w:rsidRDefault="007317E8" w:rsidP="007317E8">
      <w:pPr>
        <w:pStyle w:val="Sinespaciado"/>
        <w:ind w:left="851" w:right="567"/>
        <w:jc w:val="both"/>
        <w:rPr>
          <w:rFonts w:ascii="Palatino Linotype" w:hAnsi="Palatino Linotype"/>
          <w:i/>
        </w:rPr>
      </w:pPr>
    </w:p>
    <w:p w:rsidR="007317E8" w:rsidRPr="007317E8" w:rsidRDefault="007317E8" w:rsidP="007317E8">
      <w:pPr>
        <w:pStyle w:val="Sinespaciado"/>
        <w:ind w:left="851" w:right="567"/>
        <w:jc w:val="both"/>
        <w:rPr>
          <w:rFonts w:ascii="Palatino Linotype" w:hAnsi="Palatino Linotype"/>
          <w:i/>
        </w:rPr>
      </w:pPr>
      <w:r w:rsidRPr="007317E8">
        <w:rPr>
          <w:rFonts w:ascii="Palatino Linotype" w:hAnsi="Palatino Linotype"/>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317E8">
        <w:rPr>
          <w:rFonts w:ascii="Palatino Linotype" w:hAnsi="Palatino Linotype"/>
          <w:i/>
        </w:rPr>
        <w:t xml:space="preserve"> En consecuencia, el Estado deberá prevenir, investigar, sancionar y reparar las violaciones a los derechos humanos, en los términos que establezca la ley. </w:t>
      </w:r>
    </w:p>
    <w:p w:rsidR="00E43E11" w:rsidRPr="007317E8" w:rsidRDefault="007317E8" w:rsidP="007317E8">
      <w:pPr>
        <w:pStyle w:val="Sinespaciado"/>
        <w:ind w:left="851" w:right="567"/>
        <w:jc w:val="both"/>
        <w:rPr>
          <w:rFonts w:ascii="Palatino Linotype" w:hAnsi="Palatino Linotype"/>
          <w:i/>
        </w:rPr>
      </w:pPr>
      <w:r>
        <w:rPr>
          <w:rFonts w:ascii="Palatino Linotype" w:hAnsi="Palatino Linotype"/>
          <w:i/>
        </w:rPr>
        <w:t>(</w:t>
      </w:r>
      <w:r w:rsidRPr="007317E8">
        <w:rPr>
          <w:rFonts w:ascii="Palatino Linotype" w:hAnsi="Palatino Linotype"/>
          <w:i/>
        </w:rPr>
        <w:t>…</w:t>
      </w:r>
      <w:r>
        <w:rPr>
          <w:rFonts w:ascii="Palatino Linotype" w:hAnsi="Palatino Linotype"/>
          <w:i/>
        </w:rPr>
        <w:t>)”</w:t>
      </w:r>
    </w:p>
    <w:p w:rsidR="002770E2" w:rsidRPr="00B263E7" w:rsidRDefault="002770E2" w:rsidP="002770E2">
      <w:pPr>
        <w:pStyle w:val="Prrafodelista"/>
        <w:rPr>
          <w:rFonts w:ascii="Palatino Linotype" w:hAnsi="Palatino Linotype" w:cs="Arial"/>
          <w:bCs/>
          <w:sz w:val="24"/>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La reforma al artículo 1° de la </w:t>
      </w:r>
      <w:r w:rsidRPr="00151D53">
        <w:rPr>
          <w:rFonts w:ascii="Palatino Linotype" w:hAnsi="Palatino Linotype" w:cs="Arial"/>
          <w:b/>
          <w:sz w:val="24"/>
        </w:rPr>
        <w:t>Constitución Política de los Estados Unidos Mexicanos</w:t>
      </w:r>
      <w:r w:rsidRPr="00151D53">
        <w:rPr>
          <w:rFonts w:ascii="Palatino Linotype" w:hAnsi="Palatino Linotype" w:cs="Arial"/>
          <w:sz w:val="24"/>
        </w:rPr>
        <w:t>, publicada en el Diario Oficial de la Federación el diez de junio de dos mil once, faculta a todas las autoridades en nuestro país, sin excepción, para proteger y garantizar los Derechos Humanos desde sus respectivos ámbitos competenciales.</w:t>
      </w:r>
    </w:p>
    <w:p w:rsidR="007317E8" w:rsidRPr="00151D53" w:rsidRDefault="007317E8" w:rsidP="007317E8">
      <w:pPr>
        <w:spacing w:after="0" w:line="360" w:lineRule="auto"/>
        <w:ind w:left="360"/>
        <w:contextualSpacing/>
        <w:jc w:val="both"/>
        <w:rPr>
          <w:rFonts w:ascii="Palatino Linotype" w:hAnsi="Palatino Linotype"/>
          <w:sz w:val="28"/>
          <w:szCs w:val="24"/>
        </w:rPr>
      </w:pPr>
    </w:p>
    <w:p w:rsidR="007317E8" w:rsidRPr="00151D53" w:rsidRDefault="007317E8" w:rsidP="007317E8">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Esta reforma,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w:t>
      </w:r>
      <w:r w:rsidRPr="00151D53">
        <w:rPr>
          <w:rFonts w:ascii="Palatino Linotype" w:hAnsi="Palatino Linotype" w:cs="Arial"/>
          <w:sz w:val="24"/>
        </w:rPr>
        <w:lastRenderedPageBreak/>
        <w:t>de las normas jurídicas, en aquellas que favorezcan y brinden mayor protección a las personas.</w:t>
      </w:r>
    </w:p>
    <w:p w:rsidR="007317E8" w:rsidRPr="00151D53" w:rsidRDefault="007317E8" w:rsidP="007317E8">
      <w:pPr>
        <w:spacing w:after="0" w:line="360" w:lineRule="auto"/>
        <w:contextualSpacing/>
        <w:jc w:val="both"/>
        <w:rPr>
          <w:rFonts w:ascii="Palatino Linotype" w:hAnsi="Palatino Linotype"/>
          <w:sz w:val="28"/>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El 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Sirve de criterio orientador la Tesis Aislada I.4o.A.20 K (10a.), publicada en la Gaceta del Semanario Judicial de la Federación Libro 1, diciembre de 2013, Tomo II, página: 1211, cuyo rubro, texto y datos de identificación son los siguientes:</w:t>
      </w:r>
    </w:p>
    <w:p w:rsidR="008E3E36" w:rsidRDefault="008E3E36" w:rsidP="008E3E36">
      <w:pPr>
        <w:pStyle w:val="Prrafodelista"/>
        <w:rPr>
          <w:rFonts w:ascii="Palatino Linotype" w:hAnsi="Palatino Linotype"/>
          <w:sz w:val="24"/>
          <w:szCs w:val="24"/>
        </w:rPr>
      </w:pPr>
    </w:p>
    <w:p w:rsidR="007317E8" w:rsidRDefault="007317E8" w:rsidP="007317E8">
      <w:pPr>
        <w:pStyle w:val="Sinespaciado"/>
        <w:ind w:left="851" w:right="567"/>
        <w:jc w:val="both"/>
        <w:rPr>
          <w:rFonts w:ascii="Palatino Linotype" w:hAnsi="Palatino Linotype"/>
          <w:i/>
        </w:rPr>
      </w:pPr>
      <w:r w:rsidRPr="007317E8">
        <w:rPr>
          <w:rFonts w:ascii="Palatino Linotype" w:hAnsi="Palatino Linotype"/>
          <w:b/>
          <w:i/>
        </w:rPr>
        <w:t>PRINCIPIO PRO HOMINE. VARIANTES QUE LO COMPONEN.</w:t>
      </w:r>
      <w:r w:rsidRPr="007317E8">
        <w:rPr>
          <w:rFonts w:ascii="Palatino Linotype" w:hAnsi="Palatino Linotype"/>
          <w:i/>
        </w:rPr>
        <w:t xml:space="preserve"> </w:t>
      </w:r>
      <w:r>
        <w:rPr>
          <w:rFonts w:ascii="Palatino Linotype" w:hAnsi="Palatino Linotype"/>
          <w:i/>
        </w:rPr>
        <w:t>“</w:t>
      </w:r>
      <w:r w:rsidRPr="007317E8">
        <w:rPr>
          <w:rFonts w:ascii="Palatino Linotype" w:hAnsi="Palatino Linotype"/>
          <w:i/>
        </w:rPr>
        <w:t xml:space="preserve">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homine", el cual consiste en ponderar el peso de los derechos humanos, a efecto de estar siempre a favor del hombre,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homine" tiene dos variantes: a) Directriz de preferencia interpretativa, por la cual se ha de buscar la interpretación que optimice más un derecho constitucional. Esta variante, a su vez, se compone de: a.1.) Principio favor libertatis, que postula la </w:t>
      </w:r>
      <w:r w:rsidRPr="007317E8">
        <w:rPr>
          <w:rFonts w:ascii="Palatino Linotype" w:hAnsi="Palatino Linotype"/>
          <w:i/>
        </w:rPr>
        <w:lastRenderedPageBreak/>
        <w:t>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debilis;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r>
        <w:rPr>
          <w:rFonts w:ascii="Palatino Linotype" w:hAnsi="Palatino Linotype"/>
          <w:i/>
        </w:rPr>
        <w:t>”</w:t>
      </w:r>
    </w:p>
    <w:p w:rsidR="00F36898" w:rsidRDefault="00F36898" w:rsidP="007317E8">
      <w:pPr>
        <w:pStyle w:val="Sinespaciado"/>
        <w:ind w:left="851" w:right="567"/>
        <w:jc w:val="both"/>
        <w:rPr>
          <w:rFonts w:ascii="Palatino Linotype" w:hAnsi="Palatino Linotype"/>
          <w:i/>
        </w:rPr>
      </w:pPr>
    </w:p>
    <w:p w:rsidR="007317E8" w:rsidRPr="007317E8" w:rsidRDefault="007317E8" w:rsidP="007317E8">
      <w:pPr>
        <w:pStyle w:val="Sinespaciado"/>
        <w:ind w:left="851" w:right="567"/>
        <w:jc w:val="both"/>
        <w:rPr>
          <w:rFonts w:ascii="Palatino Linotype" w:hAnsi="Palatino Linotype"/>
          <w:i/>
        </w:rPr>
      </w:pPr>
    </w:p>
    <w:p w:rsid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 xml:space="preserve">Entonces, se puede afirmar que el principio pro persona tiene dos variantes: </w:t>
      </w:r>
    </w:p>
    <w:p w:rsidR="00F36898" w:rsidRPr="007317E8" w:rsidRDefault="00F36898" w:rsidP="00F36898">
      <w:pPr>
        <w:spacing w:after="0" w:line="360" w:lineRule="auto"/>
        <w:ind w:left="360"/>
        <w:contextualSpacing/>
        <w:jc w:val="both"/>
        <w:rPr>
          <w:rFonts w:ascii="Palatino Linotype" w:hAnsi="Palatino Linotype"/>
          <w:sz w:val="24"/>
          <w:szCs w:val="24"/>
        </w:rPr>
      </w:pPr>
    </w:p>
    <w:p w:rsidR="007317E8" w:rsidRP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t>Preferencia interpretativa.</w:t>
      </w:r>
      <w:r w:rsidRPr="007317E8">
        <w:rPr>
          <w:rFonts w:ascii="Palatino Linotype" w:hAnsi="Palatino Linotype"/>
          <w:sz w:val="24"/>
          <w:szCs w:val="24"/>
        </w:rPr>
        <w:t xml:space="preserve"> El intérprete debe preferir, de las interpretaciones válidas que estén disponibles para resolver un caso concreto, la que más optimice un derecho fundamental, es decir, cuando amplía el ámbito de los sujetos protegidos por el Derecho.</w:t>
      </w:r>
    </w:p>
    <w:p w:rsid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t>Preferencia de normas.</w:t>
      </w:r>
      <w:r w:rsidRPr="007317E8">
        <w:rPr>
          <w:rFonts w:ascii="Palatino Linotype" w:hAnsi="Palatino Linotype"/>
          <w:sz w:val="24"/>
          <w:szCs w:val="24"/>
        </w:rPr>
        <w:t xml:space="preserve"> El intérprete, si puede aplicar más de una norma al caso concreto, deberá preferir aquella que sea más favorable a la persona, con independencia del lugar que ocupe dentro de la jerarquía normativa.</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Así, el principio </w:t>
      </w:r>
      <w:r w:rsidRPr="00151D53">
        <w:rPr>
          <w:rFonts w:ascii="Palatino Linotype" w:hAnsi="Palatino Linotype" w:cs="Arial"/>
          <w:i/>
          <w:sz w:val="24"/>
        </w:rPr>
        <w:t>pro persona,</w:t>
      </w:r>
      <w:r w:rsidRPr="00151D53">
        <w:rPr>
          <w:rFonts w:ascii="Palatino Linotype" w:hAnsi="Palatino Linotype" w:cs="Arial"/>
          <w:sz w:val="24"/>
        </w:rPr>
        <w:t xml:space="preserve"> coincide con la esencia de los derechos humanos, por virtud del cual debe estarse siempre a lo más favorable para el hombre e implica que debe acudirse a la norma más amplia o a la interpretación extensiva </w:t>
      </w:r>
      <w:r w:rsidRPr="00151D53">
        <w:rPr>
          <w:rFonts w:ascii="Palatino Linotype" w:hAnsi="Palatino Linotype" w:cs="Arial"/>
          <w:sz w:val="24"/>
        </w:rPr>
        <w:lastRenderedPageBreak/>
        <w:t>cuando se trata de derechos protegidos y, por el contrario, a la norma o a la interpretación más restringida, cuando se trata de establecer límites a su ejercicio.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8E3E36"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Lo anterior, coincide con los criterios jurisprudenciales dictados por los órganos que integran el Poder Judicial de la Federación en las tesis aisladas: I.4o.A.441 A y I.4o.A.464 A, publicadas en el Semanario Judicial de la Federación y su Gaceta, Tomo XX, Octubre de 2004 y Tomo XXI, Febrero de 2005 respectivamente:</w:t>
      </w:r>
    </w:p>
    <w:p w:rsidR="008E3E36" w:rsidRDefault="008E3E36" w:rsidP="008E3E36">
      <w:pPr>
        <w:pStyle w:val="Prrafodelista"/>
        <w:rPr>
          <w:rFonts w:ascii="Palatino Linotype" w:hAnsi="Palatino Linotype"/>
          <w:sz w:val="28"/>
          <w:szCs w:val="24"/>
        </w:rPr>
      </w:pPr>
    </w:p>
    <w:p w:rsidR="007317E8" w:rsidRPr="00151D53" w:rsidRDefault="007317E8" w:rsidP="00151D53">
      <w:pPr>
        <w:pStyle w:val="Sinespaciado"/>
        <w:ind w:left="851" w:right="567"/>
        <w:jc w:val="both"/>
        <w:rPr>
          <w:rFonts w:ascii="Palatino Linotype" w:hAnsi="Palatino Linotype"/>
          <w:i/>
        </w:rPr>
      </w:pPr>
      <w:r w:rsidRPr="00151D53">
        <w:rPr>
          <w:rFonts w:ascii="Palatino Linotype" w:hAnsi="Palatino Linotype"/>
          <w:b/>
          <w:i/>
        </w:rPr>
        <w:t>PRINCIPIO PRO HOMINE. SU APLICACIÓN</w:t>
      </w:r>
      <w:r w:rsidRPr="00151D53">
        <w:rPr>
          <w:rFonts w:ascii="Palatino Linotype" w:hAnsi="Palatino Linotype"/>
          <w:i/>
        </w:rPr>
        <w:t xml:space="preserve">. </w:t>
      </w:r>
      <w:r w:rsidR="00151D53">
        <w:rPr>
          <w:rFonts w:ascii="Palatino Linotype" w:hAnsi="Palatino Linotype"/>
          <w:i/>
        </w:rPr>
        <w:t>“</w:t>
      </w:r>
      <w:r w:rsidRPr="00151D53">
        <w:rPr>
          <w:rFonts w:ascii="Palatino Linotype" w:hAnsi="Palatino Linotype"/>
          <w:i/>
        </w:rPr>
        <w:t>El principio pro homine, incorporado en múltiples tratados internacionales, es un criterio hermenéutico que coincide con el rasgo fundamental de los derechos humanos, por virtud del cual debe estarse siempre a favor del hombre e implica que debe acudirse a la norma más amplia o a la interpretación extensiva cuando se trata de derechos protegidos y, por el contrario, a la norma o a la interpretación más restringida, cuando se trata de establecer límites a su ejercicio.</w:t>
      </w:r>
      <w:r w:rsidR="00151D53">
        <w:rPr>
          <w:rFonts w:ascii="Palatino Linotype" w:hAnsi="Palatino Linotype"/>
          <w:i/>
        </w:rPr>
        <w:t>”</w:t>
      </w:r>
    </w:p>
    <w:p w:rsidR="00151D53" w:rsidRPr="00151D53" w:rsidRDefault="00151D53" w:rsidP="00151D53">
      <w:pPr>
        <w:pStyle w:val="Sinespaciado"/>
        <w:ind w:left="851" w:right="567"/>
        <w:jc w:val="both"/>
        <w:rPr>
          <w:rFonts w:ascii="Palatino Linotype" w:hAnsi="Palatino Linotype"/>
          <w:i/>
        </w:rPr>
      </w:pPr>
    </w:p>
    <w:p w:rsidR="007317E8" w:rsidRPr="007317E8" w:rsidRDefault="007317E8" w:rsidP="00151D53">
      <w:pPr>
        <w:pStyle w:val="Sinespaciado"/>
        <w:ind w:left="851" w:right="567"/>
        <w:jc w:val="both"/>
      </w:pPr>
      <w:r w:rsidRPr="00151D53">
        <w:rPr>
          <w:rFonts w:ascii="Palatino Linotype" w:hAnsi="Palatino Linotype"/>
          <w:b/>
          <w:i/>
        </w:rPr>
        <w:t>PRINCIPIO PRO HOMINE. SU APLICACIÓN ES OBLIGATORIA.</w:t>
      </w:r>
      <w:r w:rsidRPr="00151D53">
        <w:rPr>
          <w:rFonts w:ascii="Palatino Linotype" w:hAnsi="Palatino Linotype"/>
          <w:i/>
        </w:rPr>
        <w:t xml:space="preserve"> </w:t>
      </w:r>
      <w:r w:rsidR="00151D53">
        <w:rPr>
          <w:rFonts w:ascii="Palatino Linotype" w:hAnsi="Palatino Linotype"/>
          <w:i/>
        </w:rPr>
        <w:t>“</w:t>
      </w:r>
      <w:r w:rsidRPr="00151D53">
        <w:rPr>
          <w:rFonts w:ascii="Palatino Linotype" w:hAnsi="Palatino Linotype"/>
          <w:i/>
        </w:rPr>
        <w:t>El principio pro homine que implica que la interpretación jurídica siempre debe buscar el mayor beneficio para el hombre, es decir, que debe acudirse a la norma más amplia o a la interpretación extensiva cuando se trata de derechos protegidos y, por el contrario, a la norma o a la interpretación más restringida, cuando se trata de establecer límites a su ejercicio, se contempla en los artículos 29 de la Convención Americana sobre Derechos Humanos y 5 del Pacto Internacional de Derechos Civiles y Políticos, publicados en el Diario Oficial de la Federación el siete y el veinte de mayo de mil novecientos ochenta y uno, respectivamente. Ahora bien, como dichos tratados forman parte de la Ley Suprema de la Unión, conforme al artículo 133 constitucional, es claro que el citado principio debe aplicarse en forma obligatoria.</w:t>
      </w:r>
      <w:r w:rsidR="00151D53">
        <w:rPr>
          <w:rFonts w:ascii="Palatino Linotype" w:hAnsi="Palatino Linotype"/>
          <w:i/>
        </w:rPr>
        <w:t>”</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lastRenderedPageBreak/>
        <w:t xml:space="preserve">De lo expuesto se colige que cualquier órgano judicial, jurisdiccional o administrativo del Estado mexicano con facultades decisorias o de </w:t>
      </w:r>
      <w:r w:rsidRPr="00151D53">
        <w:rPr>
          <w:rFonts w:ascii="Palatino Linotype" w:hAnsi="Palatino Linotype"/>
          <w:i/>
          <w:sz w:val="24"/>
          <w:szCs w:val="24"/>
        </w:rPr>
        <w:t>imperium</w:t>
      </w:r>
      <w:r w:rsidRPr="00151D53">
        <w:rPr>
          <w:rFonts w:ascii="Palatino Linotype" w:hAnsi="Palatino Linotype"/>
          <w:sz w:val="24"/>
          <w:szCs w:val="24"/>
        </w:rPr>
        <w:t xml:space="preserve"> debe respetar el principio pro persona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Ahora, 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r>
        <w:rPr>
          <w:rFonts w:ascii="Palatino Linotype" w:hAnsi="Palatino Linotype"/>
          <w:sz w:val="24"/>
          <w:szCs w:val="24"/>
        </w:rPr>
        <w:t>.</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Por tanto, de acuerdo con lo expuesto, este Órgano Garante con funciones jurisdiccionales, al momento de resolver un recurso de revisión vinculado con el </w:t>
      </w:r>
      <w:r w:rsidRPr="00151D53">
        <w:rPr>
          <w:rFonts w:ascii="Palatino Linotype" w:hAnsi="Palatino Linotype"/>
          <w:sz w:val="24"/>
          <w:szCs w:val="24"/>
        </w:rPr>
        <w:lastRenderedPageBreak/>
        <w:t>derecho fundamental de acceso a la información pública se encuentra constitucional y convencionalmente facultado para ejercer el control difuso de la constitucionalidad o convencionalidad, según proceda</w:t>
      </w:r>
      <w:r>
        <w:rPr>
          <w:rFonts w:ascii="Palatino Linotype" w:hAnsi="Palatino Linotype"/>
          <w:sz w:val="24"/>
          <w:szCs w:val="24"/>
        </w:rPr>
        <w:t>.</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Lo anterior implica que el Pleno como cuerpo resolutor debe acatar y aplicar en su ámbito competencial, la constitución y los tratados internacionales vinculados con los derechos humanos que tiene la obligación de salvaguardar y restituir.</w:t>
      </w:r>
    </w:p>
    <w:p w:rsidR="008E3E36" w:rsidRDefault="008E3E36" w:rsidP="008E3E36">
      <w:pPr>
        <w:pStyle w:val="Prrafodelista"/>
        <w:rPr>
          <w:rFonts w:ascii="Palatino Linotype" w:hAnsi="Palatino Linotype"/>
          <w:sz w:val="24"/>
          <w:szCs w:val="24"/>
        </w:rPr>
      </w:pPr>
    </w:p>
    <w:p w:rsid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Sirve de sustento a lo anterior, el criterio jurisprudencial P. LXVII/2011(9a.), publicado en el Semanario Judicial de la Federación y su Gaceta, Libro III, diciembre de 2011, Tomo 1, que a la letra refiere lo siguiente:</w:t>
      </w:r>
    </w:p>
    <w:p w:rsidR="008E3E36" w:rsidRDefault="008E3E36" w:rsidP="008E3E36">
      <w:pPr>
        <w:pStyle w:val="Prrafodelista"/>
        <w:rPr>
          <w:rFonts w:ascii="Palatino Linotype" w:hAnsi="Palatino Linotype"/>
          <w:sz w:val="24"/>
          <w:szCs w:val="24"/>
        </w:rPr>
      </w:pPr>
    </w:p>
    <w:p w:rsidR="007317E8" w:rsidRPr="00151D53" w:rsidRDefault="00151D53" w:rsidP="00151D53">
      <w:pPr>
        <w:pStyle w:val="Sinespaciado"/>
        <w:ind w:left="851" w:right="567"/>
        <w:jc w:val="both"/>
        <w:rPr>
          <w:rFonts w:ascii="Palatino Linotype" w:hAnsi="Palatino Linotype"/>
          <w:i/>
        </w:rPr>
      </w:pPr>
      <w:r w:rsidRPr="00151D53">
        <w:rPr>
          <w:rFonts w:ascii="Palatino Linotype" w:hAnsi="Palatino Linotype"/>
          <w:b/>
          <w:i/>
        </w:rPr>
        <w:t>CONTROL DE CONVENCIONALIDAD EX OFFICIO EN UN MODELO DE CONTROL DIFUSO DE CONSTITUCIONALIDAD.</w:t>
      </w:r>
      <w:r w:rsidRPr="00151D53">
        <w:rPr>
          <w:rFonts w:ascii="Palatino Linotype" w:hAnsi="Palatino Linotype"/>
          <w:i/>
        </w:rPr>
        <w:t xml:space="preserve"> </w:t>
      </w:r>
      <w:r>
        <w:rPr>
          <w:rFonts w:ascii="Palatino Linotype" w:hAnsi="Palatino Linotype"/>
          <w:i/>
        </w:rPr>
        <w:t>“</w:t>
      </w:r>
      <w:r w:rsidRPr="00151D53">
        <w:rPr>
          <w:rFonts w:ascii="Palatino Linotype" w:hAnsi="Palatino Linotype"/>
          <w:i/>
        </w:rPr>
        <w:t xml:space="preserve">De conformidad con lo previsto en el artículo 1o. de la Constitución Política de los Estados Unidos Mexicanos, </w:t>
      </w:r>
      <w:r w:rsidRPr="00151D53">
        <w:rPr>
          <w:rFonts w:ascii="Palatino Linotype" w:hAnsi="Palatino Linotype"/>
          <w:i/>
          <w:u w:val="single"/>
        </w:rPr>
        <w:t>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pro persona.</w:t>
      </w:r>
      <w:r w:rsidRPr="00151D53">
        <w:rPr>
          <w:rFonts w:ascii="Palatino Linotype" w:hAnsi="Palatino Linotype"/>
          <w:i/>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officio en materia de derechos humanos a cargo del Poder Judicial, el que deberá adecuarse al modelo de control de constitucionalidad existente en nuestro país. </w:t>
      </w:r>
      <w:r w:rsidRPr="00151D53">
        <w:rPr>
          <w:rFonts w:ascii="Palatino Linotype" w:hAnsi="Palatino Linotype"/>
          <w:i/>
          <w:u w:val="single"/>
        </w:rPr>
        <w:t xml:space="preserve">Es en la función jurisdiccional, como está indicado en la última parte del artículo 133 en relación con el artículo 1o. constitucionales, en donde los jueces están obligados a </w:t>
      </w:r>
      <w:r w:rsidRPr="00151D53">
        <w:rPr>
          <w:rFonts w:ascii="Palatino Linotype" w:hAnsi="Palatino Linotype"/>
          <w:i/>
          <w:u w:val="single"/>
        </w:rPr>
        <w:lastRenderedPageBreak/>
        <w:t xml:space="preserve">preferir los derechos humanos contenidos en la Constitución y en los tratados internacionales, aun a pesar de las disposiciones en contrario que se encuentren en cualquier norma inferior. </w:t>
      </w:r>
      <w:r w:rsidRPr="00151D53">
        <w:rPr>
          <w:rFonts w:ascii="Palatino Linotype" w:hAnsi="Palatino Linotype"/>
          <w:i/>
        </w:rPr>
        <w:t xml:space="preserve">Si bien los jueces </w:t>
      </w:r>
      <w:r w:rsidRPr="00151D53">
        <w:rPr>
          <w:rFonts w:ascii="Palatino Linotype" w:hAnsi="Palatino Linotype"/>
          <w:i/>
          <w:u w:val="single"/>
        </w:rPr>
        <w:t>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r>
        <w:rPr>
          <w:rFonts w:ascii="Palatino Linotype" w:hAnsi="Palatino Linotype"/>
          <w:i/>
        </w:rPr>
        <w:t>”</w:t>
      </w:r>
    </w:p>
    <w:p w:rsidR="00151D53" w:rsidRPr="007317E8" w:rsidRDefault="00151D53" w:rsidP="007317E8">
      <w:pPr>
        <w:spacing w:after="0" w:line="360" w:lineRule="auto"/>
        <w:contextualSpacing/>
        <w:jc w:val="both"/>
        <w:rPr>
          <w:rFonts w:ascii="Palatino Linotype" w:hAnsi="Palatino Linotype"/>
          <w:sz w:val="24"/>
          <w:szCs w:val="24"/>
        </w:rPr>
      </w:pPr>
    </w:p>
    <w:p w:rsid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Precisado 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entes públicos.</w:t>
      </w:r>
    </w:p>
    <w:p w:rsidR="00BA442E" w:rsidRPr="007317E8" w:rsidRDefault="00BA442E" w:rsidP="00BA442E">
      <w:pPr>
        <w:spacing w:after="0" w:line="360" w:lineRule="auto"/>
        <w:ind w:left="360"/>
        <w:contextualSpacing/>
        <w:jc w:val="both"/>
        <w:rPr>
          <w:rFonts w:ascii="Palatino Linotype" w:hAnsi="Palatino Linotype"/>
          <w:sz w:val="24"/>
          <w:szCs w:val="24"/>
        </w:rPr>
      </w:pPr>
    </w:p>
    <w:p w:rsidR="00151D53" w:rsidRPr="00151D53"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En el plano internacional, particularmente en el tema en análisis, existen tres tratados internacionales suscritos y ratificados por México en el que se reconoce el derecho a buscar, recibir y difundir información. A estos tratados nos referiremos en los siguientes párrafos, sin embargo, para sustentar su aplicabilidad en el sistema jurídico mexicano se detallan por su denominación, fecha de aprobación, ratificación y publicación en el Diario Oficial de la Federación:</w:t>
      </w:r>
    </w:p>
    <w:p w:rsidR="00151D53" w:rsidRDefault="00151D53" w:rsidP="00151D53">
      <w:pPr>
        <w:numPr>
          <w:ilvl w:val="1"/>
          <w:numId w:val="1"/>
        </w:numPr>
        <w:spacing w:after="0" w:line="360" w:lineRule="auto"/>
        <w:contextualSpacing/>
        <w:jc w:val="both"/>
        <w:rPr>
          <w:rFonts w:ascii="Palatino Linotype" w:hAnsi="Palatino Linotype"/>
          <w:sz w:val="24"/>
          <w:szCs w:val="24"/>
        </w:rPr>
      </w:pPr>
      <w:r w:rsidRPr="00151D53">
        <w:rPr>
          <w:rFonts w:ascii="Palatino Linotype" w:hAnsi="Palatino Linotype"/>
          <w:b/>
          <w:sz w:val="24"/>
          <w:szCs w:val="24"/>
        </w:rPr>
        <w:lastRenderedPageBreak/>
        <w:t>DECLARACIÓN UNIVERSAL DE DERECHOS HUMANOS.</w:t>
      </w:r>
      <w:r w:rsidRPr="00151D53">
        <w:rPr>
          <w:rFonts w:ascii="Palatino Linotype" w:hAnsi="Palatino Linotype"/>
          <w:sz w:val="24"/>
          <w:szCs w:val="24"/>
        </w:rPr>
        <w:t xml:space="preserve"> Adoptada y proclamada por la Asamblea General de la Organización de Naciones Unidad en su resolución 217 A (III), del diez de diciembre de mil novecientos cuarenta y ocho.</w:t>
      </w:r>
    </w:p>
    <w:p w:rsidR="008E3E36" w:rsidRDefault="008E3E36" w:rsidP="008E3E36">
      <w:pPr>
        <w:spacing w:after="0" w:line="360" w:lineRule="auto"/>
        <w:ind w:left="1440"/>
        <w:contextualSpacing/>
        <w:jc w:val="both"/>
        <w:rPr>
          <w:rFonts w:ascii="Palatino Linotype" w:hAnsi="Palatino Linotype"/>
          <w:sz w:val="24"/>
          <w:szCs w:val="24"/>
        </w:rPr>
      </w:pPr>
    </w:p>
    <w:p w:rsidR="00151D53" w:rsidRDefault="00DE60FA" w:rsidP="00DE60FA">
      <w:pPr>
        <w:numPr>
          <w:ilvl w:val="1"/>
          <w:numId w:val="1"/>
        </w:numPr>
        <w:spacing w:after="0" w:line="360" w:lineRule="auto"/>
        <w:contextualSpacing/>
        <w:jc w:val="both"/>
        <w:rPr>
          <w:rFonts w:ascii="Palatino Linotype" w:hAnsi="Palatino Linotype"/>
          <w:sz w:val="24"/>
          <w:szCs w:val="24"/>
        </w:rPr>
      </w:pPr>
      <w:r>
        <w:rPr>
          <w:rFonts w:ascii="Palatino Linotype" w:hAnsi="Palatino Linotype"/>
          <w:b/>
          <w:sz w:val="24"/>
          <w:szCs w:val="24"/>
        </w:rPr>
        <w:t>PACTO INTERNACIONAL DE DERECHOS CIVILES Y POLÍTICOS.</w:t>
      </w:r>
      <w:r>
        <w:rPr>
          <w:rFonts w:ascii="Palatino Linotype" w:hAnsi="Palatino Linotype"/>
          <w:sz w:val="24"/>
          <w:szCs w:val="24"/>
        </w:rPr>
        <w:t xml:space="preserve"> </w:t>
      </w:r>
      <w:r w:rsidRPr="00DE60FA">
        <w:rPr>
          <w:rFonts w:ascii="Palatino Linotype" w:hAnsi="Palatino Linotype"/>
          <w:sz w:val="24"/>
          <w:szCs w:val="24"/>
        </w:rPr>
        <w:t>publicado en el Diario Oficial de la Federación el veinte de mayo de mil novecientos ochenta y uno. El diecinueve de diciembre de mil novecientos sesenta y seis se abrió a firma en la ciudad de Nueva York, Estados Unidos de América y fue ratificado por el Senado Mexicano el dieciocho de diciembre de mil novecientos ochenta.</w:t>
      </w:r>
    </w:p>
    <w:p w:rsidR="008E3E36" w:rsidRDefault="008E3E36" w:rsidP="008E3E36">
      <w:pPr>
        <w:pStyle w:val="Prrafodelista"/>
        <w:rPr>
          <w:rFonts w:ascii="Palatino Linotype" w:hAnsi="Palatino Linotype"/>
          <w:sz w:val="24"/>
          <w:szCs w:val="24"/>
        </w:rPr>
      </w:pPr>
    </w:p>
    <w:p w:rsidR="00DE60FA" w:rsidRDefault="00DE60FA" w:rsidP="00DE60FA">
      <w:pPr>
        <w:numPr>
          <w:ilvl w:val="1"/>
          <w:numId w:val="1"/>
        </w:numPr>
        <w:spacing w:after="0" w:line="360" w:lineRule="auto"/>
        <w:contextualSpacing/>
        <w:jc w:val="both"/>
        <w:rPr>
          <w:rFonts w:ascii="Palatino Linotype" w:hAnsi="Palatino Linotype"/>
          <w:sz w:val="24"/>
          <w:szCs w:val="24"/>
        </w:rPr>
      </w:pPr>
      <w:r>
        <w:rPr>
          <w:rFonts w:ascii="Palatino Linotype" w:hAnsi="Palatino Linotype"/>
          <w:b/>
          <w:sz w:val="24"/>
          <w:szCs w:val="24"/>
        </w:rPr>
        <w:t>CONVENCIÓN AMERICANA SOBRE DERECHOS HUMANOS.</w:t>
      </w:r>
      <w:r>
        <w:rPr>
          <w:rFonts w:ascii="Palatino Linotype" w:hAnsi="Palatino Linotype"/>
          <w:sz w:val="24"/>
          <w:szCs w:val="24"/>
        </w:rPr>
        <w:t xml:space="preserve"> </w:t>
      </w:r>
      <w:r w:rsidRPr="00DE60FA">
        <w:rPr>
          <w:rFonts w:ascii="Palatino Linotype" w:hAnsi="Palatino Linotype"/>
          <w:sz w:val="24"/>
          <w:szCs w:val="24"/>
        </w:rPr>
        <w:t>Firmada el veintidós de noviembre de mil novecientos sesenta y nueve en la ciudad de San José de Costa Rica y ratificada por la Cámara de Senadores del Congreso de la Unión el dieciocho de diciembre de mil novecientos ochenta. Esta convención fue publicada en el Diario Oficial de la Federación el siete de mayo de mil novecientos ochenta y uno.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 xml:space="preserve">Estos tratados internacionales reconocen la libertad de pensamiento y expresión como un derecho humano que abarca el derecho a buscar, recibir y difundir </w:t>
      </w:r>
      <w:r w:rsidRPr="00DE60FA">
        <w:rPr>
          <w:rFonts w:ascii="Palatino Linotype" w:hAnsi="Palatino Linotype"/>
          <w:sz w:val="24"/>
          <w:szCs w:val="24"/>
        </w:rPr>
        <w:lastRenderedPageBreak/>
        <w:t>información por cualquier medio, oralmente, en forma impresa o en cualquier otro medio a elección de la persona.</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este modo, el artículo 19 de la Declaración Universal de Derechos Humanos lo reconoce de la siguiente manera:</w:t>
      </w:r>
    </w:p>
    <w:p w:rsidR="007317E8" w:rsidRPr="00DE60FA" w:rsidRDefault="00DE60FA" w:rsidP="00DE60FA">
      <w:pPr>
        <w:pStyle w:val="Sinespaciado"/>
        <w:ind w:left="851" w:right="567"/>
        <w:jc w:val="both"/>
        <w:rPr>
          <w:rFonts w:ascii="Palatino Linotype" w:hAnsi="Palatino Linotype"/>
          <w:i/>
        </w:rPr>
      </w:pPr>
      <w:r>
        <w:rPr>
          <w:rFonts w:ascii="Palatino Linotype" w:hAnsi="Palatino Linotype"/>
          <w:b/>
          <w:i/>
        </w:rPr>
        <w:t>“</w:t>
      </w:r>
      <w:r w:rsidRPr="00DE60FA">
        <w:rPr>
          <w:rFonts w:ascii="Palatino Linotype" w:hAnsi="Palatino Linotype"/>
          <w:b/>
          <w:i/>
        </w:rPr>
        <w:t>Artículo 19.</w:t>
      </w:r>
      <w:r>
        <w:rPr>
          <w:rFonts w:ascii="Palatino Linotype" w:hAnsi="Palatino Linotype"/>
          <w:i/>
        </w:rPr>
        <w:t xml:space="preserve"> </w:t>
      </w:r>
      <w:r w:rsidRPr="00DE60FA">
        <w:rPr>
          <w:rFonts w:ascii="Palatino Linotype" w:hAnsi="Palatino Linotype"/>
          <w:i/>
        </w:rPr>
        <w:t xml:space="preserve">Todo individuo tiene derecho a la libertad de opinión y de expresión; este derecho incluye el no ser molestado a causa de sus opiniones, el de </w:t>
      </w:r>
      <w:r w:rsidRPr="00DE60FA">
        <w:rPr>
          <w:rFonts w:ascii="Palatino Linotype" w:hAnsi="Palatino Linotype"/>
          <w:i/>
          <w:u w:val="single"/>
        </w:rPr>
        <w:t>investigar y recibir informaciones y opiniones</w:t>
      </w:r>
      <w:r w:rsidRPr="00DE60FA">
        <w:rPr>
          <w:rFonts w:ascii="Palatino Linotype" w:hAnsi="Palatino Linotype"/>
          <w:i/>
        </w:rPr>
        <w:t>, y el de difundirlas, sin limitación de fronteras, por cualquier medio de expresión.</w:t>
      </w:r>
      <w:r>
        <w:rPr>
          <w:rFonts w:ascii="Palatino Linotype" w:hAnsi="Palatino Linotype"/>
          <w:i/>
        </w:rPr>
        <w:t>”</w:t>
      </w:r>
    </w:p>
    <w:p w:rsidR="00DE60FA" w:rsidRPr="007317E8" w:rsidRDefault="00DE60FA" w:rsidP="007317E8">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Por su parte, el artículo 19 del Pacto Internacional de Derechos Civiles y Políticos protege este derecho con los siguientes alcances:</w:t>
      </w:r>
    </w:p>
    <w:p w:rsidR="00DE60FA" w:rsidRPr="00DE60FA" w:rsidRDefault="00DE60FA" w:rsidP="00DE60FA">
      <w:pPr>
        <w:pStyle w:val="Sinespaciado"/>
        <w:ind w:left="851" w:right="567"/>
        <w:jc w:val="both"/>
        <w:rPr>
          <w:rFonts w:ascii="Palatino Linotype" w:hAnsi="Palatino Linotype"/>
          <w:b/>
          <w:i/>
        </w:rPr>
      </w:pPr>
      <w:r>
        <w:rPr>
          <w:rFonts w:ascii="Palatino Linotype" w:hAnsi="Palatino Linotype"/>
          <w:b/>
          <w:i/>
        </w:rPr>
        <w:t>“</w:t>
      </w:r>
      <w:r w:rsidRPr="00DE60FA">
        <w:rPr>
          <w:rFonts w:ascii="Palatino Linotype" w:hAnsi="Palatino Linotype"/>
          <w:b/>
          <w:i/>
        </w:rPr>
        <w:t>Artículo 19</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rPr>
        <w:t>1. Nadie podrá ser molestado a causa de sus opiniones.</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rPr>
        <w:t xml:space="preserve">2. Toda persona tiene derecho a la libertad de expresión; este derecho comprende la </w:t>
      </w:r>
      <w:r w:rsidRPr="00DE60FA">
        <w:rPr>
          <w:rFonts w:ascii="Palatino Linotype" w:hAnsi="Palatino Linotype"/>
          <w:i/>
          <w:u w:val="single"/>
        </w:rPr>
        <w:t>libertad de buscar, recibir y difundir informaciones</w:t>
      </w:r>
      <w:r w:rsidRPr="00DE60FA">
        <w:rPr>
          <w:rFonts w:ascii="Palatino Linotype" w:hAnsi="Palatino Linotype"/>
          <w:i/>
        </w:rPr>
        <w:t xml:space="preserve"> e ideas de toda índole, sin consideración de fronteras, ya sea oralmente, por escrito o en forma impresa o artística, o por cualquier otro procedimiento de su elección.</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rPr>
        <w:t xml:space="preserve">3. El ejercicio del derecho previsto en el párrafo 2 de este artículo entraña deberes y responsabilidades especiales. </w:t>
      </w:r>
      <w:r w:rsidRPr="00DE60FA">
        <w:rPr>
          <w:rFonts w:ascii="Palatino Linotype" w:hAnsi="Palatino Linotype"/>
          <w:i/>
          <w:u w:val="single"/>
        </w:rPr>
        <w:t>Por consiguiente, puede estar sujeto a ciertas restricciones que deberán, sin embargo, estar expresamente fijadas por la ley y ser necesaria para:</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u w:val="single"/>
        </w:rPr>
        <w:t>a) Asegurar el respeto a los derechos o a la reputación de los demás;</w:t>
      </w:r>
    </w:p>
    <w:p w:rsidR="00DE60FA" w:rsidRDefault="00DE60FA" w:rsidP="00DE60FA">
      <w:pPr>
        <w:pStyle w:val="Sinespaciado"/>
        <w:ind w:left="851" w:right="567"/>
        <w:jc w:val="both"/>
      </w:pPr>
      <w:r w:rsidRPr="00DE60FA">
        <w:rPr>
          <w:rFonts w:ascii="Palatino Linotype" w:hAnsi="Palatino Linotype"/>
          <w:i/>
          <w:u w:val="single"/>
        </w:rPr>
        <w:t>b) La protección de la seguridad nacional, el orden público o la salud o la moral públicas.</w:t>
      </w:r>
      <w:r>
        <w:rPr>
          <w:rFonts w:ascii="Palatino Linotype" w:hAnsi="Palatino Linotype"/>
          <w:i/>
          <w:u w:val="single"/>
        </w:rPr>
        <w:t>”</w:t>
      </w:r>
    </w:p>
    <w:p w:rsidR="00DE60FA" w:rsidRPr="007317E8" w:rsidRDefault="00DE60FA" w:rsidP="00DE60FA">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Finalmente, el artículo 13 de la Convención Americana sobre Derechos Humanos reconoce a la libertad de pensamiento y expresión como un derecho de todas las personas bajo los siguientes postulados:</w:t>
      </w:r>
    </w:p>
    <w:p w:rsidR="00DE60FA" w:rsidRPr="00DE60FA" w:rsidRDefault="00DE60FA" w:rsidP="00DE60FA">
      <w:pPr>
        <w:pStyle w:val="Sinespaciado"/>
        <w:ind w:left="851" w:right="567"/>
        <w:jc w:val="both"/>
        <w:rPr>
          <w:rFonts w:ascii="Palatino Linotype" w:hAnsi="Palatino Linotype"/>
          <w:b/>
          <w:i/>
        </w:rPr>
      </w:pPr>
      <w:r>
        <w:rPr>
          <w:rFonts w:ascii="Palatino Linotype" w:hAnsi="Palatino Linotype"/>
          <w:b/>
          <w:i/>
        </w:rPr>
        <w:lastRenderedPageBreak/>
        <w:t>“</w:t>
      </w:r>
      <w:r w:rsidRPr="00DE60FA">
        <w:rPr>
          <w:rFonts w:ascii="Palatino Linotype" w:hAnsi="Palatino Linotype"/>
          <w:b/>
          <w:i/>
        </w:rPr>
        <w:t>Artículo 13. Libertad de Pensamiento y de Expresión</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rPr>
        <w:t xml:space="preserve">1. Toda persona tiene derecho a la libertad de pensamiento y de expresión. </w:t>
      </w:r>
      <w:r w:rsidRPr="00DE60FA">
        <w:rPr>
          <w:rFonts w:ascii="Palatino Linotype" w:hAnsi="Palatino Linotype"/>
          <w:i/>
          <w:u w:val="single"/>
        </w:rPr>
        <w:t>Este derecho comprende la libertad de buscar, recibir y difundir informaciones e ideas de toda índole</w:t>
      </w:r>
      <w:r w:rsidRPr="00DE60FA">
        <w:rPr>
          <w:rFonts w:ascii="Palatino Linotype" w:hAnsi="Palatino Linotype"/>
          <w:i/>
        </w:rPr>
        <w:t>, sin consideración de fronteras ya sea oralmente, por escrito o en forma impresa o artística, o por cualquier otro procedimiento de su elección.</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rPr>
        <w:t xml:space="preserve">2. El ejercicio del derecho previsto en el inciso precedente no puede estar sujeto a previa censura sino a responsabilidades ulteriores, </w:t>
      </w:r>
      <w:r w:rsidRPr="00DE60FA">
        <w:rPr>
          <w:rFonts w:ascii="Palatino Linotype" w:hAnsi="Palatino Linotype"/>
          <w:i/>
          <w:u w:val="single"/>
        </w:rPr>
        <w:t>las que deben estar expresamente fijadas por la ley y ser necesarias para asegurar:</w:t>
      </w:r>
    </w:p>
    <w:p w:rsidR="00DE60FA" w:rsidRPr="00DE60FA" w:rsidRDefault="00DE60FA" w:rsidP="00DE60FA">
      <w:pPr>
        <w:pStyle w:val="Sinespaciado"/>
        <w:ind w:left="851" w:right="567"/>
        <w:jc w:val="both"/>
        <w:rPr>
          <w:rFonts w:ascii="Palatino Linotype" w:hAnsi="Palatino Linotype"/>
          <w:i/>
          <w:u w:val="single"/>
        </w:rPr>
      </w:pPr>
      <w:r w:rsidRPr="00DE60FA">
        <w:rPr>
          <w:rFonts w:ascii="Palatino Linotype" w:hAnsi="Palatino Linotype"/>
          <w:i/>
          <w:u w:val="single"/>
        </w:rPr>
        <w:t>a) el respeto a los derechos o a la reputación de los demás, o</w:t>
      </w:r>
    </w:p>
    <w:p w:rsidR="00DE60FA" w:rsidRPr="00DE60FA" w:rsidRDefault="00DE60FA" w:rsidP="00DE60FA">
      <w:pPr>
        <w:pStyle w:val="Sinespaciado"/>
        <w:ind w:left="851" w:right="567"/>
        <w:jc w:val="both"/>
        <w:rPr>
          <w:rFonts w:ascii="Palatino Linotype" w:hAnsi="Palatino Linotype"/>
          <w:i/>
        </w:rPr>
      </w:pPr>
      <w:r w:rsidRPr="00DE60FA">
        <w:rPr>
          <w:rFonts w:ascii="Palatino Linotype" w:hAnsi="Palatino Linotype"/>
          <w:i/>
          <w:u w:val="single"/>
        </w:rPr>
        <w:t>b) la protección de la seguridad nacional, el orden público o la salud o la moral públicas.</w:t>
      </w:r>
    </w:p>
    <w:p w:rsidR="00DE60FA" w:rsidRPr="00DE60FA" w:rsidRDefault="00DE60FA" w:rsidP="00DE60FA">
      <w:pPr>
        <w:pStyle w:val="Sinespaciado"/>
        <w:ind w:left="851" w:right="567"/>
        <w:jc w:val="both"/>
        <w:rPr>
          <w:rFonts w:ascii="Palatino Linotype" w:hAnsi="Palatino Linotype"/>
          <w:i/>
        </w:rPr>
      </w:pPr>
      <w:r>
        <w:rPr>
          <w:rFonts w:ascii="Palatino Linotype" w:hAnsi="Palatino Linotype"/>
          <w:i/>
        </w:rPr>
        <w:t>(</w:t>
      </w:r>
      <w:r w:rsidRPr="00DE60FA">
        <w:rPr>
          <w:rFonts w:ascii="Palatino Linotype" w:hAnsi="Palatino Linotype"/>
          <w:i/>
        </w:rPr>
        <w:t>…</w:t>
      </w:r>
      <w:r>
        <w:rPr>
          <w:rFonts w:ascii="Palatino Linotype" w:hAnsi="Palatino Linotype"/>
          <w:i/>
        </w:rPr>
        <w:t>)”</w:t>
      </w:r>
    </w:p>
    <w:p w:rsidR="00DE60FA" w:rsidRPr="007317E8" w:rsidRDefault="00DE60FA" w:rsidP="00DE60FA">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rsidR="00BA442E" w:rsidRPr="00DE60FA" w:rsidRDefault="00BA442E" w:rsidP="00BA442E">
      <w:pPr>
        <w:spacing w:after="0" w:line="360" w:lineRule="auto"/>
        <w:ind w:left="360"/>
        <w:contextualSpacing/>
        <w:jc w:val="both"/>
        <w:rPr>
          <w:rFonts w:ascii="Palatino Linotype" w:hAnsi="Palatino Linotype"/>
          <w:sz w:val="24"/>
          <w:szCs w:val="24"/>
        </w:rPr>
      </w:pPr>
    </w:p>
    <w:p w:rsidR="00DE60FA" w:rsidRPr="00DE60FA"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 xml:space="preserve">De 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w:t>
      </w:r>
      <w:r w:rsidRPr="00DE60FA">
        <w:rPr>
          <w:rFonts w:ascii="Palatino Linotype" w:hAnsi="Palatino Linotype"/>
          <w:sz w:val="24"/>
          <w:szCs w:val="24"/>
        </w:rPr>
        <w:lastRenderedPageBreak/>
        <w:t>información pública que los sujetos obligados generen, administren o posean debe ser accesible de manera permanente a cualquier persona.</w:t>
      </w:r>
    </w:p>
    <w:p w:rsidR="00DE60FA" w:rsidRPr="00DE60FA" w:rsidRDefault="00DE60FA" w:rsidP="00DE60FA">
      <w:pPr>
        <w:spacing w:after="0" w:line="360" w:lineRule="auto"/>
        <w:ind w:left="360"/>
        <w:contextualSpacing/>
        <w:jc w:val="both"/>
        <w:rPr>
          <w:rFonts w:ascii="Palatino Linotype" w:hAnsi="Palatino Linotype"/>
          <w:sz w:val="24"/>
          <w:szCs w:val="24"/>
        </w:rPr>
      </w:pPr>
    </w:p>
    <w:p w:rsidR="00DE60FA" w:rsidRPr="00DE60FA" w:rsidRDefault="00C878B6" w:rsidP="00DE60FA">
      <w:pPr>
        <w:numPr>
          <w:ilvl w:val="0"/>
          <w:numId w:val="1"/>
        </w:numPr>
        <w:spacing w:after="0" w:line="360" w:lineRule="auto"/>
        <w:contextualSpacing/>
        <w:jc w:val="both"/>
        <w:rPr>
          <w:rFonts w:ascii="Palatino Linotype" w:hAnsi="Palatino Linotype"/>
          <w:sz w:val="24"/>
          <w:szCs w:val="24"/>
        </w:rPr>
      </w:pPr>
      <w:r>
        <w:rPr>
          <w:rFonts w:ascii="Palatino Linotype" w:hAnsi="Palatino Linotype"/>
          <w:sz w:val="24"/>
          <w:szCs w:val="24"/>
        </w:rPr>
        <w:t>Y es bajo las anteriores consideraciones</w:t>
      </w:r>
      <w:r w:rsidR="00DE60FA" w:rsidRPr="00DE60FA">
        <w:rPr>
          <w:rFonts w:ascii="Palatino Linotype" w:hAnsi="Palatino Linotype"/>
          <w:sz w:val="24"/>
          <w:szCs w:val="24"/>
        </w:rPr>
        <w:t xml:space="preserve">, </w:t>
      </w:r>
      <w:r>
        <w:rPr>
          <w:rFonts w:ascii="Palatino Linotype" w:hAnsi="Palatino Linotype"/>
          <w:sz w:val="24"/>
          <w:szCs w:val="24"/>
        </w:rPr>
        <w:t>por lo cual</w:t>
      </w:r>
      <w:r w:rsidR="00DE60FA">
        <w:rPr>
          <w:rFonts w:ascii="Palatino Linotype" w:hAnsi="Palatino Linotype"/>
          <w:sz w:val="24"/>
          <w:szCs w:val="24"/>
        </w:rPr>
        <w:t xml:space="preserve"> mi Ponencia</w:t>
      </w:r>
      <w:r w:rsidR="00DE60FA" w:rsidRPr="00DE60FA">
        <w:rPr>
          <w:rFonts w:ascii="Palatino Linotype" w:hAnsi="Palatino Linotype"/>
          <w:sz w:val="24"/>
          <w:szCs w:val="24"/>
        </w:rPr>
        <w:t xml:space="preserve"> </w:t>
      </w:r>
      <w:r w:rsidR="00DE60FA">
        <w:rPr>
          <w:rFonts w:ascii="Palatino Linotype" w:hAnsi="Palatino Linotype"/>
          <w:sz w:val="24"/>
          <w:szCs w:val="24"/>
        </w:rPr>
        <w:t>ha mantenido la postura de</w:t>
      </w:r>
      <w:r w:rsidR="00DE60FA" w:rsidRPr="00DE60FA">
        <w:rPr>
          <w:rFonts w:ascii="Palatino Linotype" w:hAnsi="Palatino Linotype"/>
          <w:sz w:val="24"/>
          <w:szCs w:val="24"/>
        </w:rPr>
        <w:t xml:space="preserve"> que la fracción V </w:t>
      </w:r>
      <w:r w:rsidR="00DE60FA">
        <w:rPr>
          <w:rFonts w:ascii="Palatino Linotype" w:hAnsi="Palatino Linotype"/>
          <w:sz w:val="24"/>
          <w:szCs w:val="24"/>
        </w:rPr>
        <w:t>del</w:t>
      </w:r>
      <w:r w:rsidR="00DE60FA" w:rsidRPr="00DE60FA">
        <w:rPr>
          <w:rFonts w:ascii="Palatino Linotype" w:hAnsi="Palatino Linotype"/>
          <w:sz w:val="24"/>
          <w:szCs w:val="24"/>
        </w:rPr>
        <w:t xml:space="preserve"> artículo 148 del Código Financiero del Estado de México y Municipios, restringe el derecho humano de acceso a la información pública al agregar un costo al escaneo y digitalización de la información solicitada para ser entregada a través de la plataforma electrónica SAIMEX.</w:t>
      </w:r>
    </w:p>
    <w:p w:rsidR="007317E8" w:rsidRPr="007317E8" w:rsidRDefault="007317E8" w:rsidP="00DE60FA">
      <w:pPr>
        <w:spacing w:after="0" w:line="360" w:lineRule="auto"/>
        <w:ind w:left="360"/>
        <w:contextualSpacing/>
        <w:jc w:val="both"/>
        <w:rPr>
          <w:rFonts w:ascii="Palatino Linotype" w:hAnsi="Palatino Linotype"/>
          <w:sz w:val="24"/>
          <w:szCs w:val="24"/>
        </w:rPr>
      </w:pPr>
    </w:p>
    <w:p w:rsidR="00E6179D" w:rsidRPr="0017117E" w:rsidRDefault="007317E8" w:rsidP="002770E2">
      <w:pPr>
        <w:numPr>
          <w:ilvl w:val="0"/>
          <w:numId w:val="1"/>
        </w:numPr>
        <w:spacing w:after="0" w:line="360" w:lineRule="auto"/>
        <w:contextualSpacing/>
        <w:jc w:val="both"/>
        <w:rPr>
          <w:rFonts w:ascii="Palatino Linotype" w:hAnsi="Palatino Linotype"/>
          <w:sz w:val="24"/>
          <w:szCs w:val="24"/>
        </w:rPr>
      </w:pPr>
      <w:r>
        <w:rPr>
          <w:rFonts w:ascii="Palatino Linotype" w:hAnsi="Palatino Linotype" w:cs="Arial"/>
          <w:bCs/>
          <w:sz w:val="24"/>
          <w:szCs w:val="24"/>
        </w:rPr>
        <w:t>P</w:t>
      </w:r>
      <w:r w:rsidR="00B85B0B">
        <w:rPr>
          <w:rFonts w:ascii="Palatino Linotype" w:hAnsi="Palatino Linotype" w:cs="Arial"/>
          <w:bCs/>
          <w:sz w:val="24"/>
          <w:szCs w:val="24"/>
        </w:rPr>
        <w:t>or consiguiente, d</w:t>
      </w:r>
      <w:r w:rsidR="002770E2">
        <w:rPr>
          <w:rFonts w:ascii="Palatino Linotype" w:hAnsi="Palatino Linotype" w:cs="Arial"/>
          <w:bCs/>
          <w:sz w:val="24"/>
          <w:szCs w:val="24"/>
        </w:rPr>
        <w:t xml:space="preserve">e las consideraciones señaladas y derivado de la funciones y atribuciones conferidas a la </w:t>
      </w:r>
      <w:r w:rsidR="0037144D">
        <w:rPr>
          <w:rFonts w:ascii="Palatino Linotype" w:hAnsi="Palatino Linotype" w:cs="Arial"/>
          <w:b/>
          <w:bCs/>
          <w:sz w:val="24"/>
          <w:szCs w:val="24"/>
        </w:rPr>
        <w:t>Universidad Politécnica del Valle de Toluca</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 xml:space="preserve">se deduce que </w:t>
      </w:r>
      <w:r w:rsidR="00832B9B">
        <w:rPr>
          <w:rFonts w:ascii="Palatino Linotype" w:hAnsi="Palatino Linotype" w:cs="Arial"/>
          <w:bCs/>
          <w:sz w:val="24"/>
          <w:szCs w:val="24"/>
        </w:rPr>
        <w:t>cuenta con las capacidades</w:t>
      </w:r>
      <w:r w:rsidR="002770E2">
        <w:rPr>
          <w:rFonts w:ascii="Palatino Linotype" w:hAnsi="Palatino Linotype" w:cs="Arial"/>
          <w:bCs/>
          <w:sz w:val="24"/>
          <w:szCs w:val="24"/>
        </w:rPr>
        <w:t xml:space="preserve"> técnicas y presupuestales</w:t>
      </w:r>
      <w:r w:rsidR="0037144D">
        <w:rPr>
          <w:rFonts w:ascii="Palatino Linotype" w:hAnsi="Palatino Linotype" w:cs="Arial"/>
          <w:bCs/>
          <w:sz w:val="24"/>
          <w:szCs w:val="24"/>
        </w:rPr>
        <w:t xml:space="preserve"> necesarias</w:t>
      </w:r>
      <w:r w:rsidR="00832B9B">
        <w:rPr>
          <w:rFonts w:ascii="Palatino Linotype" w:hAnsi="Palatino Linotype" w:cs="Arial"/>
          <w:bCs/>
          <w:sz w:val="24"/>
          <w:szCs w:val="24"/>
        </w:rPr>
        <w:t xml:space="preserve"> para realizar sus funciones sin alguna</w:t>
      </w:r>
      <w:r>
        <w:rPr>
          <w:rFonts w:ascii="Palatino Linotype" w:hAnsi="Palatino Linotype" w:cs="Arial"/>
          <w:bCs/>
          <w:sz w:val="24"/>
          <w:szCs w:val="24"/>
        </w:rPr>
        <w:t xml:space="preserve"> limitante para observar </w:t>
      </w:r>
      <w:r w:rsidR="002770E2">
        <w:rPr>
          <w:rFonts w:ascii="Palatino Linotype" w:hAnsi="Palatino Linotype" w:cs="Arial"/>
          <w:bCs/>
          <w:sz w:val="24"/>
          <w:szCs w:val="24"/>
        </w:rPr>
        <w:t>l</w:t>
      </w:r>
      <w:r>
        <w:rPr>
          <w:rFonts w:ascii="Palatino Linotype" w:hAnsi="Palatino Linotype" w:cs="Arial"/>
          <w:bCs/>
          <w:sz w:val="24"/>
          <w:szCs w:val="24"/>
        </w:rPr>
        <w:t>os</w:t>
      </w:r>
      <w:r w:rsidR="002770E2">
        <w:rPr>
          <w:rFonts w:ascii="Palatino Linotype" w:hAnsi="Palatino Linotype" w:cs="Arial"/>
          <w:bCs/>
          <w:sz w:val="24"/>
          <w:szCs w:val="24"/>
        </w:rPr>
        <w:t xml:space="preserve"> principio</w:t>
      </w:r>
      <w:r>
        <w:rPr>
          <w:rFonts w:ascii="Palatino Linotype" w:hAnsi="Palatino Linotype" w:cs="Arial"/>
          <w:bCs/>
          <w:sz w:val="24"/>
          <w:szCs w:val="24"/>
        </w:rPr>
        <w:t>s</w:t>
      </w:r>
      <w:r w:rsidR="002770E2">
        <w:rPr>
          <w:rFonts w:ascii="Palatino Linotype" w:hAnsi="Palatino Linotype" w:cs="Arial"/>
          <w:bCs/>
          <w:sz w:val="24"/>
          <w:szCs w:val="24"/>
        </w:rPr>
        <w:t xml:space="preserve"> de gratuidad </w:t>
      </w:r>
      <w:r>
        <w:rPr>
          <w:rFonts w:ascii="Palatino Linotype" w:hAnsi="Palatino Linotype" w:cs="Arial"/>
          <w:bCs/>
          <w:sz w:val="24"/>
          <w:szCs w:val="24"/>
        </w:rPr>
        <w:t xml:space="preserve">y </w:t>
      </w:r>
      <w:r>
        <w:rPr>
          <w:rFonts w:ascii="Palatino Linotype" w:hAnsi="Palatino Linotype" w:cs="Arial"/>
          <w:bCs/>
          <w:i/>
          <w:sz w:val="24"/>
          <w:szCs w:val="24"/>
        </w:rPr>
        <w:t xml:space="preserve">pro </w:t>
      </w:r>
      <w:r w:rsidRPr="007317E8">
        <w:rPr>
          <w:rFonts w:ascii="Palatino Linotype" w:hAnsi="Palatino Linotype" w:cs="Arial"/>
          <w:bCs/>
          <w:i/>
          <w:sz w:val="24"/>
          <w:szCs w:val="24"/>
        </w:rPr>
        <w:t>persona</w:t>
      </w:r>
      <w:r>
        <w:rPr>
          <w:rFonts w:ascii="Palatino Linotype" w:hAnsi="Palatino Linotype" w:cs="Arial"/>
          <w:bCs/>
          <w:sz w:val="24"/>
          <w:szCs w:val="24"/>
        </w:rPr>
        <w:t xml:space="preserve"> </w:t>
      </w:r>
      <w:r w:rsidR="002770E2" w:rsidRPr="007317E8">
        <w:rPr>
          <w:rFonts w:ascii="Palatino Linotype" w:hAnsi="Palatino Linotype" w:cs="Arial"/>
          <w:bCs/>
          <w:sz w:val="24"/>
          <w:szCs w:val="24"/>
        </w:rPr>
        <w:t>previamente</w:t>
      </w:r>
      <w:r w:rsidR="002770E2">
        <w:rPr>
          <w:rFonts w:ascii="Palatino Linotype" w:hAnsi="Palatino Linotype" w:cs="Arial"/>
          <w:bCs/>
          <w:sz w:val="24"/>
          <w:szCs w:val="24"/>
        </w:rPr>
        <w:t xml:space="preserve"> estudiado</w:t>
      </w:r>
      <w:r>
        <w:rPr>
          <w:rFonts w:ascii="Palatino Linotype" w:hAnsi="Palatino Linotype" w:cs="Arial"/>
          <w:bCs/>
          <w:sz w:val="24"/>
          <w:szCs w:val="24"/>
        </w:rPr>
        <w:t>s</w:t>
      </w:r>
      <w:r w:rsidR="00832B9B">
        <w:rPr>
          <w:rFonts w:ascii="Palatino Linotype" w:hAnsi="Palatino Linotype" w:cs="Arial"/>
          <w:bCs/>
          <w:sz w:val="24"/>
          <w:szCs w:val="24"/>
        </w:rPr>
        <w:t>,</w:t>
      </w:r>
      <w:r w:rsidR="002770E2">
        <w:rPr>
          <w:rFonts w:ascii="Palatino Linotype" w:hAnsi="Palatino Linotype" w:cs="Arial"/>
          <w:bCs/>
          <w:sz w:val="24"/>
          <w:szCs w:val="24"/>
        </w:rPr>
        <w:t xml:space="preserve"> y por lo tanto entregar la información en la modalidad requerida por </w:t>
      </w:r>
      <w:r w:rsidR="003E0DA6" w:rsidRPr="003E0DA6">
        <w:rPr>
          <w:rFonts w:ascii="Palatino Linotype" w:hAnsi="Palatino Linotype"/>
          <w:sz w:val="24"/>
          <w:szCs w:val="24"/>
        </w:rPr>
        <w:t>el hoy recurrente</w:t>
      </w:r>
      <w:r w:rsidR="002770E2">
        <w:rPr>
          <w:rFonts w:ascii="Palatino Linotype" w:hAnsi="Palatino Linotype"/>
          <w:b/>
          <w:sz w:val="24"/>
          <w:szCs w:val="24"/>
        </w:rPr>
        <w:t xml:space="preserve"> </w:t>
      </w:r>
      <w:r w:rsidR="002770E2">
        <w:rPr>
          <w:rFonts w:ascii="Palatino Linotype" w:hAnsi="Palatino Linotype"/>
          <w:sz w:val="24"/>
          <w:szCs w:val="24"/>
        </w:rPr>
        <w:t xml:space="preserve">sin necesidad de que previo a la entrega de la información realice pago alguno, </w:t>
      </w:r>
      <w:r w:rsidR="002770E2" w:rsidRPr="006807C7">
        <w:rPr>
          <w:rFonts w:ascii="Palatino Linotype" w:hAnsi="Palatino Linotype" w:cs="Arial"/>
          <w:sz w:val="24"/>
          <w:szCs w:val="24"/>
        </w:rPr>
        <w:t xml:space="preserve">ya que actuar como se propone en la resolución resulta una carga desproporcionada que limita su derecho, </w:t>
      </w:r>
      <w:r w:rsidR="002770E2" w:rsidRPr="00B62D68">
        <w:rPr>
          <w:rFonts w:ascii="Palatino Linotype" w:hAnsi="Palatino Linotype" w:cs="Arial"/>
          <w:b/>
          <w:sz w:val="24"/>
          <w:szCs w:val="24"/>
        </w:rPr>
        <w:t>afecta el ejercicio de control popular de los actos de gobierno</w:t>
      </w:r>
      <w:r w:rsidR="00832B9B">
        <w:rPr>
          <w:rFonts w:ascii="Palatino Linotype" w:hAnsi="Palatino Linotype" w:cs="Arial"/>
          <w:sz w:val="24"/>
          <w:szCs w:val="24"/>
        </w:rPr>
        <w:t xml:space="preserve"> y </w:t>
      </w:r>
      <w:r w:rsidR="002770E2" w:rsidRPr="006807C7">
        <w:rPr>
          <w:rFonts w:ascii="Palatino Linotype" w:hAnsi="Palatino Linotype" w:cs="Arial"/>
          <w:sz w:val="24"/>
          <w:szCs w:val="24"/>
        </w:rPr>
        <w:t>debilita el debate público informado que, a la larga, sólo puede contribuir al fortalecimiento de la sociedad democrática.</w:t>
      </w:r>
    </w:p>
    <w:p w:rsidR="0017117E" w:rsidRPr="00B73B30" w:rsidRDefault="0017117E" w:rsidP="0017117E">
      <w:pPr>
        <w:spacing w:after="0" w:line="360" w:lineRule="auto"/>
        <w:contextualSpacing/>
        <w:jc w:val="both"/>
        <w:rPr>
          <w:rFonts w:ascii="Palatino Linotype" w:hAnsi="Palatino Linotype"/>
          <w:sz w:val="24"/>
          <w:szCs w:val="24"/>
        </w:rPr>
      </w:pPr>
    </w:p>
    <w:p w:rsidR="00E6179D" w:rsidRPr="0083488C" w:rsidRDefault="00CD53CB" w:rsidP="00CD53CB">
      <w:pPr>
        <w:pStyle w:val="Ttulo1"/>
        <w:rPr>
          <w:rFonts w:eastAsia="Calibri"/>
          <w:szCs w:val="24"/>
        </w:rPr>
      </w:pPr>
      <w:bookmarkStart w:id="7" w:name="_Toc521928208"/>
      <w:r>
        <w:rPr>
          <w:rFonts w:eastAsia="Calibri"/>
          <w:color w:val="auto"/>
          <w:szCs w:val="24"/>
        </w:rPr>
        <w:lastRenderedPageBreak/>
        <w:t>V</w:t>
      </w:r>
      <w:r w:rsidR="00E43E11">
        <w:rPr>
          <w:rFonts w:eastAsia="Calibri"/>
          <w:color w:val="auto"/>
          <w:szCs w:val="24"/>
        </w:rPr>
        <w:t>I</w:t>
      </w:r>
      <w:r>
        <w:rPr>
          <w:rFonts w:eastAsia="Calibri"/>
          <w:color w:val="auto"/>
          <w:szCs w:val="24"/>
        </w:rPr>
        <w:t xml:space="preserve">.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BA442E">
      <w:pPr>
        <w:numPr>
          <w:ilvl w:val="0"/>
          <w:numId w:val="1"/>
        </w:numPr>
        <w:spacing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w:t>
      </w:r>
      <w:r w:rsidR="007317E8">
        <w:rPr>
          <w:rFonts w:ascii="Palatino Linotype" w:eastAsia="Calibri" w:hAnsi="Palatino Linotype" w:cs="Arial"/>
          <w:sz w:val="24"/>
          <w:szCs w:val="24"/>
        </w:rPr>
        <w:t>anteriormente, consider</w:t>
      </w:r>
      <w:r w:rsidR="003E0DA6">
        <w:rPr>
          <w:rFonts w:ascii="Palatino Linotype" w:eastAsia="Calibri" w:hAnsi="Palatino Linotype" w:cs="Arial"/>
          <w:sz w:val="24"/>
          <w:szCs w:val="24"/>
        </w:rPr>
        <w:t>am</w:t>
      </w:r>
      <w:r w:rsidR="007317E8">
        <w:rPr>
          <w:rFonts w:ascii="Palatino Linotype" w:eastAsia="Calibri" w:hAnsi="Palatino Linotype" w:cs="Arial"/>
          <w:sz w:val="24"/>
          <w:szCs w:val="24"/>
        </w:rPr>
        <w:t>o</w:t>
      </w:r>
      <w:r w:rsidR="003E0DA6">
        <w:rPr>
          <w:rFonts w:ascii="Palatino Linotype" w:eastAsia="Calibri" w:hAnsi="Palatino Linotype" w:cs="Arial"/>
          <w:sz w:val="24"/>
          <w:szCs w:val="24"/>
        </w:rPr>
        <w:t>s</w:t>
      </w:r>
      <w:r w:rsidR="007317E8">
        <w:rPr>
          <w:rFonts w:ascii="Palatino Linotype" w:eastAsia="Calibri" w:hAnsi="Palatino Linotype" w:cs="Arial"/>
          <w:sz w:val="24"/>
          <w:szCs w:val="24"/>
        </w:rPr>
        <w:t xml:space="preserve"> que es</w:t>
      </w:r>
      <w:r w:rsidR="00B85B0B">
        <w:rPr>
          <w:rFonts w:ascii="Palatino Linotype" w:eastAsia="Calibri" w:hAnsi="Palatino Linotype" w:cs="Arial"/>
          <w:sz w:val="24"/>
          <w:szCs w:val="24"/>
        </w:rPr>
        <w:t xml:space="preserve"> de suma importancia que en los casos de que el </w:t>
      </w:r>
      <w:r w:rsidR="003E0DA6" w:rsidRPr="003E0DA6">
        <w:rPr>
          <w:rFonts w:ascii="Palatino Linotype" w:eastAsia="Calibri" w:hAnsi="Palatino Linotype" w:cs="Arial"/>
          <w:sz w:val="24"/>
          <w:szCs w:val="24"/>
        </w:rPr>
        <w:t>sujeto obligado</w:t>
      </w:r>
      <w:r w:rsidR="003E0DA6">
        <w:rPr>
          <w:rFonts w:ascii="Palatino Linotype" w:eastAsia="Calibri" w:hAnsi="Palatino Linotype" w:cs="Arial"/>
          <w:sz w:val="24"/>
          <w:szCs w:val="24"/>
        </w:rPr>
        <w:t xml:space="preserve"> </w:t>
      </w:r>
      <w:r w:rsidR="00B85B0B">
        <w:rPr>
          <w:rFonts w:ascii="Palatino Linotype" w:eastAsia="Calibri" w:hAnsi="Palatino Linotype" w:cs="Arial"/>
          <w:sz w:val="24"/>
          <w:szCs w:val="24"/>
        </w:rPr>
        <w:t>condicione a los particulares a realizar el pago de derechos contenido en el artículo 73 fracción VI del Código Financiero del Estado de México, realicemos un estudio y análisis profundo de la contradicción legal que genera la fracción en comento a los principios de transparencia y acceso a la información pública que el Estado nos encargó procurar, velar y defender como máximos representantes de nuestro Instituto de Transparencia, Acceso a la Información Pública y Protección de Datos Personales del Estado de México y Municipios, de lo contrario, éste Órgano Garante se encontraría contribuyendo a ralentizar la necesaria evolución de nuestros entes administrativos a la era moderna de digitalización institucional.</w:t>
      </w:r>
    </w:p>
    <w:p w:rsidR="00205008" w:rsidRDefault="0020500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0E01EF" w:rsidRDefault="000E01EF" w:rsidP="003E0DA6">
      <w:pPr>
        <w:spacing w:after="0" w:line="240" w:lineRule="auto"/>
        <w:jc w:val="both"/>
        <w:rPr>
          <w:rFonts w:ascii="Palatino Linotype" w:hAnsi="Palatino Linotype"/>
          <w:sz w:val="24"/>
          <w:szCs w:val="24"/>
        </w:rPr>
      </w:pPr>
    </w:p>
    <w:p w:rsidR="000E01EF" w:rsidRDefault="000E01EF" w:rsidP="003E0DA6">
      <w:pPr>
        <w:spacing w:after="0" w:line="240" w:lineRule="auto"/>
        <w:jc w:val="both"/>
        <w:rPr>
          <w:rFonts w:ascii="Palatino Linotype" w:hAnsi="Palatino Linotype"/>
          <w:sz w:val="24"/>
          <w:szCs w:val="24"/>
        </w:rPr>
      </w:pPr>
    </w:p>
    <w:p w:rsidR="000E01EF" w:rsidRDefault="000E01EF" w:rsidP="003E0DA6">
      <w:pPr>
        <w:spacing w:after="0" w:line="240" w:lineRule="auto"/>
        <w:jc w:val="both"/>
        <w:rPr>
          <w:rFonts w:ascii="Palatino Linotype" w:hAnsi="Palatino Linotype"/>
          <w:sz w:val="24"/>
          <w:szCs w:val="24"/>
        </w:rPr>
      </w:pPr>
    </w:p>
    <w:p w:rsidR="000E01EF" w:rsidRDefault="000E01EF" w:rsidP="003E0DA6">
      <w:pPr>
        <w:spacing w:after="0" w:line="240" w:lineRule="auto"/>
        <w:jc w:val="both"/>
        <w:rPr>
          <w:rFonts w:ascii="Palatino Linotype" w:hAnsi="Palatino Linotype"/>
          <w:sz w:val="24"/>
          <w:szCs w:val="24"/>
        </w:rPr>
      </w:pPr>
    </w:p>
    <w:p w:rsidR="000E01EF" w:rsidRDefault="000E01EF" w:rsidP="003E0DA6">
      <w:pPr>
        <w:spacing w:after="0" w:line="24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E01EF" w:rsidTr="000E01EF">
        <w:tc>
          <w:tcPr>
            <w:tcW w:w="4414" w:type="dxa"/>
          </w:tcPr>
          <w:p w:rsidR="000E01EF" w:rsidRDefault="000E01EF" w:rsidP="000E01EF">
            <w:pPr>
              <w:jc w:val="center"/>
              <w:rPr>
                <w:rFonts w:ascii="Palatino Linotype" w:hAnsi="Palatino Linotype"/>
                <w:b/>
                <w:sz w:val="24"/>
                <w:szCs w:val="24"/>
              </w:rPr>
            </w:pPr>
            <w:r w:rsidRPr="00AF50EB">
              <w:rPr>
                <w:rFonts w:ascii="Palatino Linotype" w:hAnsi="Palatino Linotype"/>
                <w:b/>
                <w:sz w:val="24"/>
                <w:szCs w:val="24"/>
              </w:rPr>
              <w:t>Javier Martínez Cruz</w:t>
            </w:r>
          </w:p>
          <w:p w:rsidR="000E01EF" w:rsidRPr="00AF50EB" w:rsidRDefault="000E01EF" w:rsidP="000E01EF">
            <w:pPr>
              <w:spacing w:line="276" w:lineRule="auto"/>
              <w:jc w:val="center"/>
              <w:rPr>
                <w:rFonts w:ascii="Palatino Linotype" w:hAnsi="Palatino Linotype"/>
                <w:b/>
                <w:sz w:val="24"/>
                <w:szCs w:val="24"/>
              </w:rPr>
            </w:pPr>
            <w:r w:rsidRPr="00AF50EB">
              <w:rPr>
                <w:rFonts w:ascii="Palatino Linotype" w:hAnsi="Palatino Linotype"/>
                <w:b/>
                <w:sz w:val="24"/>
                <w:szCs w:val="24"/>
              </w:rPr>
              <w:t>Comisionado</w:t>
            </w:r>
          </w:p>
          <w:p w:rsidR="000E01EF" w:rsidRDefault="000E01EF" w:rsidP="000E01EF">
            <w:pPr>
              <w:tabs>
                <w:tab w:val="left" w:pos="1180"/>
                <w:tab w:val="left" w:pos="5814"/>
              </w:tabs>
              <w:spacing w:line="360" w:lineRule="auto"/>
              <w:jc w:val="center"/>
              <w:rPr>
                <w:rFonts w:ascii="Palatino Linotype" w:hAnsi="Palatino Linotype"/>
                <w:sz w:val="24"/>
                <w:szCs w:val="24"/>
              </w:rPr>
            </w:pPr>
            <w:r w:rsidRPr="00AF50EB">
              <w:rPr>
                <w:rFonts w:ascii="Palatino Linotype" w:hAnsi="Palatino Linotype"/>
                <w:sz w:val="24"/>
                <w:szCs w:val="24"/>
              </w:rPr>
              <w:t>(Rúbrica)</w:t>
            </w:r>
          </w:p>
        </w:tc>
        <w:tc>
          <w:tcPr>
            <w:tcW w:w="4414" w:type="dxa"/>
          </w:tcPr>
          <w:p w:rsidR="000E01EF" w:rsidRDefault="000E01EF" w:rsidP="000E01EF">
            <w:pPr>
              <w:jc w:val="center"/>
              <w:rPr>
                <w:rFonts w:ascii="Palatino Linotype" w:hAnsi="Palatino Linotype"/>
                <w:b/>
                <w:sz w:val="24"/>
                <w:szCs w:val="24"/>
              </w:rPr>
            </w:pPr>
            <w:r w:rsidRPr="00AF50EB">
              <w:rPr>
                <w:rFonts w:ascii="Palatino Linotype" w:hAnsi="Palatino Linotype"/>
                <w:b/>
                <w:sz w:val="24"/>
                <w:szCs w:val="24"/>
              </w:rPr>
              <w:t>José Guadalupe Luna Hernández</w:t>
            </w:r>
          </w:p>
          <w:p w:rsidR="000E01EF" w:rsidRPr="00AF50EB" w:rsidRDefault="000E01EF" w:rsidP="000E01EF">
            <w:pPr>
              <w:spacing w:line="276" w:lineRule="auto"/>
              <w:jc w:val="center"/>
              <w:rPr>
                <w:rFonts w:ascii="Palatino Linotype" w:hAnsi="Palatino Linotype"/>
                <w:b/>
                <w:sz w:val="24"/>
                <w:szCs w:val="24"/>
              </w:rPr>
            </w:pPr>
            <w:r w:rsidRPr="00AF50EB">
              <w:rPr>
                <w:rFonts w:ascii="Palatino Linotype" w:hAnsi="Palatino Linotype"/>
                <w:b/>
                <w:sz w:val="24"/>
                <w:szCs w:val="24"/>
              </w:rPr>
              <w:t>Comisionado</w:t>
            </w:r>
          </w:p>
          <w:p w:rsidR="000E01EF" w:rsidRPr="00AF50EB" w:rsidRDefault="000E01EF" w:rsidP="000E01EF">
            <w:pPr>
              <w:tabs>
                <w:tab w:val="left" w:pos="1180"/>
                <w:tab w:val="left" w:pos="5814"/>
              </w:tabs>
              <w:spacing w:line="360" w:lineRule="auto"/>
              <w:jc w:val="center"/>
              <w:rPr>
                <w:rFonts w:ascii="Palatino Linotype" w:hAnsi="Palatino Linotype"/>
                <w:sz w:val="24"/>
                <w:szCs w:val="24"/>
              </w:rPr>
            </w:pPr>
            <w:r w:rsidRPr="00AF50EB">
              <w:rPr>
                <w:rFonts w:ascii="Palatino Linotype" w:hAnsi="Palatino Linotype"/>
                <w:sz w:val="24"/>
                <w:szCs w:val="24"/>
              </w:rPr>
              <w:t>(Rúbrica)</w:t>
            </w:r>
          </w:p>
          <w:p w:rsidR="000E01EF" w:rsidRDefault="000E01EF" w:rsidP="000E01EF">
            <w:pPr>
              <w:jc w:val="center"/>
              <w:rPr>
                <w:rFonts w:ascii="Palatino Linotype" w:hAnsi="Palatino Linotype"/>
                <w:sz w:val="24"/>
                <w:szCs w:val="24"/>
              </w:rPr>
            </w:pPr>
          </w:p>
        </w:tc>
      </w:tr>
    </w:tbl>
    <w:p w:rsidR="00797A31" w:rsidRPr="000E01EF" w:rsidRDefault="000E01EF" w:rsidP="000E01EF">
      <w:pPr>
        <w:spacing w:after="0" w:line="360" w:lineRule="auto"/>
        <w:rPr>
          <w:rFonts w:ascii="Palatino Linotype" w:hAnsi="Palatino Linotype"/>
          <w:b/>
          <w:sz w:val="20"/>
          <w:szCs w:val="20"/>
        </w:rPr>
      </w:pPr>
      <w:r w:rsidRPr="000E01EF">
        <w:rPr>
          <w:rFonts w:ascii="Palatino Linotype" w:hAnsi="Palatino Linotype"/>
          <w:sz w:val="20"/>
          <w:szCs w:val="20"/>
        </w:rPr>
        <w:t>JGLH/MULR</w:t>
      </w:r>
    </w:p>
    <w:sectPr w:rsidR="00797A31" w:rsidRPr="000E01EF"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100" w:rsidRDefault="00E00100" w:rsidP="00E82D3D">
      <w:pPr>
        <w:spacing w:after="0" w:line="240" w:lineRule="auto"/>
      </w:pPr>
      <w:r>
        <w:separator/>
      </w:r>
    </w:p>
  </w:endnote>
  <w:endnote w:type="continuationSeparator" w:id="0">
    <w:p w:rsidR="00E00100" w:rsidRDefault="00E0010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181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1812">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100" w:rsidRDefault="00E00100" w:rsidP="00E82D3D">
      <w:pPr>
        <w:spacing w:after="0" w:line="240" w:lineRule="auto"/>
      </w:pPr>
      <w:r>
        <w:separator/>
      </w:r>
    </w:p>
  </w:footnote>
  <w:footnote w:type="continuationSeparator" w:id="0">
    <w:p w:rsidR="00E00100" w:rsidRDefault="00E00100"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001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001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001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2B8E2722"/>
    <w:multiLevelType w:val="hybridMultilevel"/>
    <w:tmpl w:val="DC228A92"/>
    <w:lvl w:ilvl="0" w:tplc="941691AE">
      <w:start w:val="1"/>
      <w:numFmt w:val="decimal"/>
      <w:lvlText w:val="%1."/>
      <w:lvlJc w:val="left"/>
      <w:pPr>
        <w:ind w:left="720" w:hanging="360"/>
      </w:pPr>
      <w:rPr>
        <w:rFonts w:eastAsia="Times New Roman"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EB1281"/>
    <w:multiLevelType w:val="hybridMultilevel"/>
    <w:tmpl w:val="112C4226"/>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15:restartNumberingAfterBreak="0">
    <w:nsid w:val="577202FA"/>
    <w:multiLevelType w:val="hybridMultilevel"/>
    <w:tmpl w:val="6C8A5758"/>
    <w:lvl w:ilvl="0" w:tplc="DDC08822">
      <w:start w:val="1"/>
      <w:numFmt w:val="decimal"/>
      <w:lvlText w:val="%1."/>
      <w:lvlJc w:val="left"/>
      <w:pPr>
        <w:ind w:left="360" w:hanging="360"/>
      </w:pPr>
      <w:rPr>
        <w:rFonts w:hAnsi="Arial Unicode MS" w:hint="default"/>
        <w:b/>
        <w:i w:val="0"/>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B832D0">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1"/>
  </w:num>
  <w:num w:numId="7">
    <w:abstractNumId w:val="3"/>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27EBF"/>
    <w:rsid w:val="00033837"/>
    <w:rsid w:val="0003648B"/>
    <w:rsid w:val="00047D47"/>
    <w:rsid w:val="00051010"/>
    <w:rsid w:val="00064C7C"/>
    <w:rsid w:val="00064D12"/>
    <w:rsid w:val="00080138"/>
    <w:rsid w:val="00083196"/>
    <w:rsid w:val="0009506C"/>
    <w:rsid w:val="000957D0"/>
    <w:rsid w:val="00096CC2"/>
    <w:rsid w:val="000A17C5"/>
    <w:rsid w:val="000B09D7"/>
    <w:rsid w:val="000C780A"/>
    <w:rsid w:val="000D6B20"/>
    <w:rsid w:val="000E01EF"/>
    <w:rsid w:val="000E1ACA"/>
    <w:rsid w:val="000F6EC0"/>
    <w:rsid w:val="00102360"/>
    <w:rsid w:val="00113C80"/>
    <w:rsid w:val="00113E8A"/>
    <w:rsid w:val="001240A5"/>
    <w:rsid w:val="00143E4A"/>
    <w:rsid w:val="00151D53"/>
    <w:rsid w:val="001553F5"/>
    <w:rsid w:val="0016014E"/>
    <w:rsid w:val="001604B4"/>
    <w:rsid w:val="0017117E"/>
    <w:rsid w:val="001725DC"/>
    <w:rsid w:val="001833A7"/>
    <w:rsid w:val="0018421D"/>
    <w:rsid w:val="001A7D89"/>
    <w:rsid w:val="001B19B4"/>
    <w:rsid w:val="001C23BB"/>
    <w:rsid w:val="001C3DD0"/>
    <w:rsid w:val="001C6366"/>
    <w:rsid w:val="001C66F8"/>
    <w:rsid w:val="001E5635"/>
    <w:rsid w:val="001F0E58"/>
    <w:rsid w:val="001F3C81"/>
    <w:rsid w:val="0020438A"/>
    <w:rsid w:val="00205008"/>
    <w:rsid w:val="00224B9E"/>
    <w:rsid w:val="00241D8A"/>
    <w:rsid w:val="00252BB6"/>
    <w:rsid w:val="002643E6"/>
    <w:rsid w:val="00270126"/>
    <w:rsid w:val="00273862"/>
    <w:rsid w:val="002770E2"/>
    <w:rsid w:val="002937C6"/>
    <w:rsid w:val="002A3111"/>
    <w:rsid w:val="002B1FE5"/>
    <w:rsid w:val="002B30C5"/>
    <w:rsid w:val="002C4ACE"/>
    <w:rsid w:val="002D4033"/>
    <w:rsid w:val="002E3ED2"/>
    <w:rsid w:val="002F79FF"/>
    <w:rsid w:val="00305CE0"/>
    <w:rsid w:val="00315772"/>
    <w:rsid w:val="003258B6"/>
    <w:rsid w:val="0032670C"/>
    <w:rsid w:val="0037144D"/>
    <w:rsid w:val="00384DBA"/>
    <w:rsid w:val="003855C9"/>
    <w:rsid w:val="003A0E53"/>
    <w:rsid w:val="003A31EF"/>
    <w:rsid w:val="003C37C6"/>
    <w:rsid w:val="003C7F8A"/>
    <w:rsid w:val="003E0648"/>
    <w:rsid w:val="003E0DA6"/>
    <w:rsid w:val="003E1591"/>
    <w:rsid w:val="00410B42"/>
    <w:rsid w:val="00427B79"/>
    <w:rsid w:val="0045613E"/>
    <w:rsid w:val="0046231E"/>
    <w:rsid w:val="004633B7"/>
    <w:rsid w:val="00470840"/>
    <w:rsid w:val="00471812"/>
    <w:rsid w:val="004733AF"/>
    <w:rsid w:val="0048628E"/>
    <w:rsid w:val="004A5F86"/>
    <w:rsid w:val="004D1869"/>
    <w:rsid w:val="004F3ABB"/>
    <w:rsid w:val="004F4DA5"/>
    <w:rsid w:val="00522308"/>
    <w:rsid w:val="0052306C"/>
    <w:rsid w:val="005537BE"/>
    <w:rsid w:val="005556CA"/>
    <w:rsid w:val="005650D9"/>
    <w:rsid w:val="00567957"/>
    <w:rsid w:val="00594E5C"/>
    <w:rsid w:val="005E1AC1"/>
    <w:rsid w:val="005F30BC"/>
    <w:rsid w:val="0061188C"/>
    <w:rsid w:val="00617ACF"/>
    <w:rsid w:val="006319DC"/>
    <w:rsid w:val="006609E0"/>
    <w:rsid w:val="00680533"/>
    <w:rsid w:val="006A0BDD"/>
    <w:rsid w:val="006B39ED"/>
    <w:rsid w:val="006B7892"/>
    <w:rsid w:val="006F0A01"/>
    <w:rsid w:val="00720C60"/>
    <w:rsid w:val="00730193"/>
    <w:rsid w:val="007317E8"/>
    <w:rsid w:val="00731D60"/>
    <w:rsid w:val="00740A46"/>
    <w:rsid w:val="00740DA3"/>
    <w:rsid w:val="00744BA1"/>
    <w:rsid w:val="00797A31"/>
    <w:rsid w:val="007A1EB0"/>
    <w:rsid w:val="007B2DD9"/>
    <w:rsid w:val="007D037D"/>
    <w:rsid w:val="007D03AB"/>
    <w:rsid w:val="007E48FF"/>
    <w:rsid w:val="007F1CA2"/>
    <w:rsid w:val="00804A5D"/>
    <w:rsid w:val="00806194"/>
    <w:rsid w:val="008076C1"/>
    <w:rsid w:val="00807E40"/>
    <w:rsid w:val="008216B4"/>
    <w:rsid w:val="00832B9B"/>
    <w:rsid w:val="0083488C"/>
    <w:rsid w:val="00835C8D"/>
    <w:rsid w:val="00843E5B"/>
    <w:rsid w:val="008747CB"/>
    <w:rsid w:val="008862D6"/>
    <w:rsid w:val="00894E97"/>
    <w:rsid w:val="008B30D3"/>
    <w:rsid w:val="008C6502"/>
    <w:rsid w:val="008D08BE"/>
    <w:rsid w:val="008D4328"/>
    <w:rsid w:val="008E3E36"/>
    <w:rsid w:val="008E733E"/>
    <w:rsid w:val="008F2800"/>
    <w:rsid w:val="0090262D"/>
    <w:rsid w:val="00910ACA"/>
    <w:rsid w:val="009143F1"/>
    <w:rsid w:val="00922197"/>
    <w:rsid w:val="00926F65"/>
    <w:rsid w:val="0095264E"/>
    <w:rsid w:val="009616FE"/>
    <w:rsid w:val="0098539C"/>
    <w:rsid w:val="00987C08"/>
    <w:rsid w:val="009A0D68"/>
    <w:rsid w:val="009A2D39"/>
    <w:rsid w:val="009A33F0"/>
    <w:rsid w:val="009B3A5C"/>
    <w:rsid w:val="009C7267"/>
    <w:rsid w:val="009C72FE"/>
    <w:rsid w:val="009D3396"/>
    <w:rsid w:val="009D3902"/>
    <w:rsid w:val="009F4960"/>
    <w:rsid w:val="009F6B96"/>
    <w:rsid w:val="009F7B67"/>
    <w:rsid w:val="00A22908"/>
    <w:rsid w:val="00A23B00"/>
    <w:rsid w:val="00A276D9"/>
    <w:rsid w:val="00A37A86"/>
    <w:rsid w:val="00A60C7E"/>
    <w:rsid w:val="00A82E8C"/>
    <w:rsid w:val="00A84374"/>
    <w:rsid w:val="00AA0FB7"/>
    <w:rsid w:val="00AA7A15"/>
    <w:rsid w:val="00AE6802"/>
    <w:rsid w:val="00AF1EEC"/>
    <w:rsid w:val="00B16CE1"/>
    <w:rsid w:val="00B2190C"/>
    <w:rsid w:val="00B32C98"/>
    <w:rsid w:val="00B3675E"/>
    <w:rsid w:val="00B41044"/>
    <w:rsid w:val="00B516DB"/>
    <w:rsid w:val="00B62D68"/>
    <w:rsid w:val="00B73B30"/>
    <w:rsid w:val="00B83FC5"/>
    <w:rsid w:val="00B847EF"/>
    <w:rsid w:val="00B85B0B"/>
    <w:rsid w:val="00B9285A"/>
    <w:rsid w:val="00BA442E"/>
    <w:rsid w:val="00BA67DA"/>
    <w:rsid w:val="00BB4414"/>
    <w:rsid w:val="00BB488C"/>
    <w:rsid w:val="00BB48A7"/>
    <w:rsid w:val="00BD4422"/>
    <w:rsid w:val="00C130B3"/>
    <w:rsid w:val="00C43E73"/>
    <w:rsid w:val="00C44EC6"/>
    <w:rsid w:val="00C4764C"/>
    <w:rsid w:val="00C544E1"/>
    <w:rsid w:val="00C547F0"/>
    <w:rsid w:val="00C602B8"/>
    <w:rsid w:val="00C6233A"/>
    <w:rsid w:val="00C753D8"/>
    <w:rsid w:val="00C878B6"/>
    <w:rsid w:val="00CA2B8E"/>
    <w:rsid w:val="00CA3D02"/>
    <w:rsid w:val="00CB2472"/>
    <w:rsid w:val="00CC3ACF"/>
    <w:rsid w:val="00CC7CC1"/>
    <w:rsid w:val="00CD53CB"/>
    <w:rsid w:val="00CF0462"/>
    <w:rsid w:val="00CF1560"/>
    <w:rsid w:val="00D0055C"/>
    <w:rsid w:val="00D05844"/>
    <w:rsid w:val="00D152FB"/>
    <w:rsid w:val="00D207EA"/>
    <w:rsid w:val="00D35B4C"/>
    <w:rsid w:val="00D51491"/>
    <w:rsid w:val="00D92BA5"/>
    <w:rsid w:val="00DB39B5"/>
    <w:rsid w:val="00DB53B7"/>
    <w:rsid w:val="00DC4358"/>
    <w:rsid w:val="00DD14BB"/>
    <w:rsid w:val="00DE60FA"/>
    <w:rsid w:val="00DE7A32"/>
    <w:rsid w:val="00DF782C"/>
    <w:rsid w:val="00E00100"/>
    <w:rsid w:val="00E27A90"/>
    <w:rsid w:val="00E43E11"/>
    <w:rsid w:val="00E535E4"/>
    <w:rsid w:val="00E61519"/>
    <w:rsid w:val="00E6179D"/>
    <w:rsid w:val="00E82D3D"/>
    <w:rsid w:val="00E93266"/>
    <w:rsid w:val="00E97A4D"/>
    <w:rsid w:val="00EA7D41"/>
    <w:rsid w:val="00EB7AAD"/>
    <w:rsid w:val="00EC6B7E"/>
    <w:rsid w:val="00F01271"/>
    <w:rsid w:val="00F066CD"/>
    <w:rsid w:val="00F1169F"/>
    <w:rsid w:val="00F1403B"/>
    <w:rsid w:val="00F26CE5"/>
    <w:rsid w:val="00F30EE8"/>
    <w:rsid w:val="00F36898"/>
    <w:rsid w:val="00F41722"/>
    <w:rsid w:val="00F45572"/>
    <w:rsid w:val="00F72355"/>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21A9891-4A75-452D-8688-70E4F721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normal11">
    <w:name w:val="Tabla normal 1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0289-7994-4618-BEB2-13980C7B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5858</Words>
  <Characters>32224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2018-08-21T16:29:00Z</cp:lastPrinted>
  <dcterms:created xsi:type="dcterms:W3CDTF">2018-11-09T00:41:00Z</dcterms:created>
  <dcterms:modified xsi:type="dcterms:W3CDTF">2018-11-09T02:05:00Z</dcterms:modified>
</cp:coreProperties>
</file>